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1EA2" w14:textId="6C54DA5E" w:rsidR="00581F38" w:rsidRPr="00936B48" w:rsidRDefault="00936B48" w:rsidP="00A91308">
      <w:pPr>
        <w:pStyle w:val="Default"/>
        <w:contextualSpacing/>
        <w:rPr>
          <w:rFonts w:ascii="Frutiger LT 45 Light" w:hAnsi="Frutiger LT 45 Light"/>
          <w:b/>
          <w:bCs/>
          <w:sz w:val="32"/>
          <w:szCs w:val="32"/>
          <w:lang w:val="fr-CH"/>
        </w:rPr>
      </w:pPr>
      <w:r>
        <w:rPr>
          <w:rFonts w:ascii="Frutiger LT 45 Light" w:hAnsi="Frutiger LT 45 Light"/>
          <w:b/>
          <w:bCs/>
          <w:sz w:val="32"/>
          <w:szCs w:val="32"/>
          <w:lang w:val="fr-CH"/>
        </w:rPr>
        <w:t>Suppression</w:t>
      </w:r>
      <w:r w:rsidR="00A91F55" w:rsidRPr="00936B48">
        <w:rPr>
          <w:rFonts w:ascii="Frutiger LT 45 Light" w:hAnsi="Frutiger LT 45 Light"/>
          <w:b/>
          <w:bCs/>
          <w:sz w:val="32"/>
          <w:szCs w:val="32"/>
          <w:lang w:val="fr-CH"/>
        </w:rPr>
        <w:t xml:space="preserve"> des droits de douane sur les produits industriels: </w:t>
      </w:r>
      <w:r w:rsidR="00A91308">
        <w:rPr>
          <w:rFonts w:ascii="Frutiger LT 45 Light" w:hAnsi="Frutiger LT 45 Light"/>
          <w:b/>
          <w:bCs/>
          <w:sz w:val="32"/>
          <w:szCs w:val="32"/>
          <w:lang w:val="fr-CH"/>
        </w:rPr>
        <w:br/>
      </w:r>
      <w:r w:rsidR="00A91F55" w:rsidRPr="00936B48">
        <w:rPr>
          <w:rFonts w:ascii="Frutiger LT 45 Light" w:hAnsi="Frutiger LT 45 Light"/>
          <w:b/>
          <w:bCs/>
          <w:sz w:val="32"/>
          <w:szCs w:val="32"/>
          <w:lang w:val="fr-CH"/>
        </w:rPr>
        <w:t>ce qu'il faut savoir !</w:t>
      </w:r>
    </w:p>
    <w:p w14:paraId="1D6DB7A8" w14:textId="59C66E2E" w:rsidR="00581F38" w:rsidRPr="00936B48" w:rsidRDefault="006C6B52" w:rsidP="007131DE">
      <w:pPr>
        <w:pStyle w:val="Default"/>
        <w:contextualSpacing/>
        <w:jc w:val="both"/>
        <w:rPr>
          <w:rFonts w:ascii="Frutiger LT 45 Light" w:hAnsi="Frutiger LT 45 Light"/>
          <w:sz w:val="16"/>
          <w:szCs w:val="16"/>
          <w:lang w:val="fr-CH"/>
        </w:rPr>
      </w:pPr>
      <w:r w:rsidRPr="00936B48">
        <w:rPr>
          <w:rFonts w:ascii="Frutiger LT 45 Light" w:hAnsi="Frutiger LT 45 Light"/>
          <w:sz w:val="16"/>
          <w:szCs w:val="16"/>
          <w:lang w:val="fr-CH"/>
        </w:rPr>
        <w:t>(</w:t>
      </w:r>
      <w:r w:rsidR="00936B48">
        <w:rPr>
          <w:rFonts w:ascii="Frutiger LT 45 Light" w:hAnsi="Frutiger LT 45 Light"/>
          <w:sz w:val="16"/>
          <w:szCs w:val="16"/>
          <w:lang w:val="fr-CH"/>
        </w:rPr>
        <w:t>état</w:t>
      </w:r>
      <w:r w:rsidRPr="00936B48">
        <w:rPr>
          <w:rFonts w:ascii="Frutiger LT 45 Light" w:hAnsi="Frutiger LT 45 Light"/>
          <w:sz w:val="16"/>
          <w:szCs w:val="16"/>
          <w:lang w:val="fr-CH"/>
        </w:rPr>
        <w:t xml:space="preserve"> </w:t>
      </w:r>
      <w:r w:rsidR="00A632A2">
        <w:rPr>
          <w:rFonts w:ascii="Frutiger LT 45 Light" w:hAnsi="Frutiger LT 45 Light"/>
          <w:sz w:val="16"/>
          <w:szCs w:val="16"/>
          <w:lang w:val="fr-CH"/>
        </w:rPr>
        <w:t xml:space="preserve">en </w:t>
      </w:r>
      <w:r w:rsidRPr="00936B48">
        <w:rPr>
          <w:rFonts w:ascii="Frutiger LT 45 Light" w:hAnsi="Frutiger LT 45 Light"/>
          <w:sz w:val="16"/>
          <w:szCs w:val="16"/>
          <w:lang w:val="fr-CH"/>
        </w:rPr>
        <w:t>décembre 2023)</w:t>
      </w:r>
    </w:p>
    <w:p w14:paraId="58516AAC" w14:textId="7AAF2A3D" w:rsidR="00581F38" w:rsidRPr="00936B48" w:rsidRDefault="00581F38" w:rsidP="007131DE">
      <w:pPr>
        <w:pStyle w:val="Default"/>
        <w:contextualSpacing/>
        <w:jc w:val="both"/>
        <w:rPr>
          <w:rFonts w:ascii="Frutiger LT 45 Light" w:hAnsi="Frutiger LT 45 Light"/>
          <w:sz w:val="22"/>
          <w:szCs w:val="22"/>
          <w:lang w:val="fr-CH"/>
        </w:rPr>
      </w:pPr>
      <w:r w:rsidRPr="00936B48">
        <w:rPr>
          <w:rFonts w:ascii="Frutiger LT 45 Light" w:hAnsi="Frutiger LT 45 Light"/>
          <w:sz w:val="32"/>
          <w:szCs w:val="32"/>
          <w:lang w:val="fr-CH"/>
        </w:rPr>
        <w:br/>
      </w:r>
      <w:r w:rsidR="00A91F55" w:rsidRPr="00936B48">
        <w:rPr>
          <w:rFonts w:ascii="Frutiger LT 45 Light" w:hAnsi="Frutiger LT 45 Light"/>
          <w:color w:val="212121"/>
          <w:sz w:val="22"/>
          <w:szCs w:val="22"/>
          <w:shd w:val="clear" w:color="auto" w:fill="FFFFFF"/>
          <w:lang w:val="fr-CH"/>
        </w:rPr>
        <w:t>Le 1</w:t>
      </w:r>
      <w:r w:rsidR="00A91F55" w:rsidRPr="00936B48">
        <w:rPr>
          <w:rFonts w:ascii="Frutiger LT 45 Light" w:hAnsi="Frutiger LT 45 Light"/>
          <w:color w:val="212121"/>
          <w:sz w:val="22"/>
          <w:szCs w:val="22"/>
          <w:shd w:val="clear" w:color="auto" w:fill="FFFFFF"/>
          <w:vertAlign w:val="superscript"/>
          <w:lang w:val="fr-CH"/>
        </w:rPr>
        <w:t>er</w:t>
      </w:r>
      <w:r w:rsidR="00A91F55" w:rsidRPr="00936B48">
        <w:rPr>
          <w:rFonts w:ascii="Frutiger LT 45 Light" w:hAnsi="Frutiger LT 45 Light"/>
          <w:color w:val="212121"/>
          <w:sz w:val="22"/>
          <w:szCs w:val="22"/>
          <w:shd w:val="clear" w:color="auto" w:fill="FFFFFF"/>
          <w:lang w:val="fr-CH"/>
        </w:rPr>
        <w:t xml:space="preserve"> janvier 2024, parallèlement à la suppression des droits de douane sur les produits industriels, la structure </w:t>
      </w:r>
      <w:r w:rsidR="00A818E7">
        <w:rPr>
          <w:rFonts w:ascii="Frutiger LT 45 Light" w:hAnsi="Frutiger LT 45 Light"/>
          <w:color w:val="212121"/>
          <w:sz w:val="22"/>
          <w:szCs w:val="22"/>
          <w:shd w:val="clear" w:color="auto" w:fill="FFFFFF"/>
          <w:lang w:val="fr-CH"/>
        </w:rPr>
        <w:t>des tarifs de douane sur les</w:t>
      </w:r>
      <w:r w:rsidR="00A91F55" w:rsidRPr="00936B48">
        <w:rPr>
          <w:rFonts w:ascii="Frutiger LT 45 Light" w:hAnsi="Frutiger LT 45 Light"/>
          <w:color w:val="212121"/>
          <w:sz w:val="22"/>
          <w:szCs w:val="22"/>
          <w:shd w:val="clear" w:color="auto" w:fill="FFFFFF"/>
          <w:lang w:val="fr-CH"/>
        </w:rPr>
        <w:t xml:space="preserve"> produits industriels sera simplifiée. Vous trouverez ci-dessous des informations utiles et leurs </w:t>
      </w:r>
      <w:r w:rsidR="00A632A2">
        <w:rPr>
          <w:rFonts w:ascii="Frutiger LT 45 Light" w:hAnsi="Frutiger LT 45 Light"/>
          <w:color w:val="212121"/>
          <w:sz w:val="22"/>
          <w:szCs w:val="22"/>
          <w:shd w:val="clear" w:color="auto" w:fill="FFFFFF"/>
          <w:lang w:val="fr-CH"/>
        </w:rPr>
        <w:t>conséquences</w:t>
      </w:r>
      <w:r w:rsidR="00A91F55" w:rsidRPr="00936B48">
        <w:rPr>
          <w:rFonts w:ascii="Frutiger LT 45 Light" w:hAnsi="Frutiger LT 45 Light"/>
          <w:color w:val="212121"/>
          <w:sz w:val="22"/>
          <w:szCs w:val="22"/>
          <w:shd w:val="clear" w:color="auto" w:fill="FFFFFF"/>
          <w:lang w:val="fr-CH"/>
        </w:rPr>
        <w:t xml:space="preserve">. </w:t>
      </w:r>
    </w:p>
    <w:p w14:paraId="300F99FC" w14:textId="467632BC" w:rsidR="00581F38" w:rsidRPr="00936B48" w:rsidRDefault="00581F38" w:rsidP="007131DE">
      <w:pPr>
        <w:pStyle w:val="Default"/>
        <w:contextualSpacing/>
        <w:jc w:val="both"/>
        <w:rPr>
          <w:rStyle w:val="Lienhypertexte"/>
          <w:rFonts w:ascii="Frutiger LT 45 Light" w:hAnsi="Frutiger LT 45 Light"/>
          <w:color w:val="000000"/>
          <w:sz w:val="20"/>
          <w:szCs w:val="20"/>
          <w:u w:val="none"/>
          <w:lang w:val="fr-CH"/>
        </w:rPr>
      </w:pPr>
    </w:p>
    <w:p w14:paraId="23F136F3" w14:textId="04D72D9D" w:rsidR="00581F38" w:rsidRPr="00936B48" w:rsidRDefault="00A818E7" w:rsidP="007131DE">
      <w:pPr>
        <w:pStyle w:val="Default"/>
        <w:contextualSpacing/>
        <w:jc w:val="both"/>
        <w:rPr>
          <w:rStyle w:val="Lienhypertexte"/>
          <w:rFonts w:ascii="Frutiger LT 45 Light" w:hAnsi="Frutiger LT 45 Light"/>
          <w:b/>
          <w:bCs/>
          <w:color w:val="000000"/>
          <w:u w:val="none"/>
          <w:lang w:val="fr-CH"/>
        </w:rPr>
      </w:pPr>
      <w:r>
        <w:rPr>
          <w:rStyle w:val="Lienhypertexte"/>
          <w:rFonts w:ascii="Frutiger LT 45 Light" w:hAnsi="Frutiger LT 45 Light"/>
          <w:b/>
          <w:bCs/>
          <w:color w:val="000000"/>
          <w:u w:val="none"/>
          <w:lang w:val="fr-CH"/>
        </w:rPr>
        <w:t>Suppression des droits de douane sur les produits</w:t>
      </w:r>
      <w:r w:rsidR="00422821" w:rsidRPr="00936B48">
        <w:rPr>
          <w:rStyle w:val="Lienhypertexte"/>
          <w:rFonts w:ascii="Frutiger LT 45 Light" w:hAnsi="Frutiger LT 45 Light"/>
          <w:b/>
          <w:bCs/>
          <w:color w:val="000000"/>
          <w:u w:val="none"/>
          <w:lang w:val="fr-CH"/>
        </w:rPr>
        <w:t xml:space="preserve"> industriel</w:t>
      </w:r>
      <w:r>
        <w:rPr>
          <w:rStyle w:val="Lienhypertexte"/>
          <w:rFonts w:ascii="Frutiger LT 45 Light" w:hAnsi="Frutiger LT 45 Light"/>
          <w:b/>
          <w:bCs/>
          <w:color w:val="000000"/>
          <w:u w:val="none"/>
          <w:lang w:val="fr-CH"/>
        </w:rPr>
        <w:t>s</w:t>
      </w:r>
      <w:r w:rsidR="00422821" w:rsidRPr="00936B48">
        <w:rPr>
          <w:rStyle w:val="Lienhypertexte"/>
          <w:rFonts w:ascii="Frutiger LT 45 Light" w:hAnsi="Frutiger LT 45 Light"/>
          <w:b/>
          <w:bCs/>
          <w:color w:val="000000"/>
          <w:u w:val="none"/>
          <w:lang w:val="fr-CH"/>
        </w:rPr>
        <w:t xml:space="preserve"> – Structure </w:t>
      </w:r>
      <w:r>
        <w:rPr>
          <w:rStyle w:val="Lienhypertexte"/>
          <w:rFonts w:ascii="Frutiger LT 45 Light" w:hAnsi="Frutiger LT 45 Light"/>
          <w:b/>
          <w:bCs/>
          <w:color w:val="000000"/>
          <w:u w:val="none"/>
          <w:lang w:val="fr-CH"/>
        </w:rPr>
        <w:t>des tarifs de douane</w:t>
      </w:r>
    </w:p>
    <w:p w14:paraId="338B5D08" w14:textId="37414CF2" w:rsidR="00EE173B" w:rsidRPr="00936B48" w:rsidRDefault="00BD1EB2" w:rsidP="007131DE">
      <w:pPr>
        <w:shd w:val="clear" w:color="auto" w:fill="FFFFFF"/>
        <w:spacing w:after="0" w:line="240" w:lineRule="auto"/>
        <w:contextualSpacing/>
        <w:jc w:val="both"/>
        <w:rPr>
          <w:color w:val="212121"/>
          <w:shd w:val="clear" w:color="auto" w:fill="FFFFFF"/>
          <w:lang w:val="fr-CH"/>
        </w:rPr>
      </w:pPr>
      <w:r w:rsidRPr="00936B48">
        <w:rPr>
          <w:color w:val="212121"/>
          <w:shd w:val="clear" w:color="auto" w:fill="FFFFFF"/>
          <w:lang w:val="fr-CH"/>
        </w:rPr>
        <w:t xml:space="preserve">Dans le cadre de la suppression des droits de douane </w:t>
      </w:r>
      <w:r w:rsidR="00A818E7">
        <w:rPr>
          <w:color w:val="212121"/>
          <w:shd w:val="clear" w:color="auto" w:fill="FFFFFF"/>
          <w:lang w:val="fr-CH"/>
        </w:rPr>
        <w:t xml:space="preserve">sur les produits </w:t>
      </w:r>
      <w:r w:rsidRPr="00936B48">
        <w:rPr>
          <w:color w:val="212121"/>
          <w:shd w:val="clear" w:color="auto" w:fill="FFFFFF"/>
          <w:lang w:val="fr-CH"/>
        </w:rPr>
        <w:t>industriels en Suisse, les produits industriels comprennent toutes les marchandises, à l</w:t>
      </w:r>
      <w:r w:rsidR="00A632A2">
        <w:rPr>
          <w:color w:val="212121"/>
          <w:shd w:val="clear" w:color="auto" w:fill="FFFFFF"/>
          <w:lang w:val="fr-CH"/>
        </w:rPr>
        <w:t>’</w:t>
      </w:r>
      <w:r w:rsidRPr="00936B48">
        <w:rPr>
          <w:color w:val="212121"/>
          <w:shd w:val="clear" w:color="auto" w:fill="FFFFFF"/>
          <w:lang w:val="fr-CH"/>
        </w:rPr>
        <w:t xml:space="preserve">exception des produits agricoles (y compris les produits agricoles transformés et les aliments pour animaux) et des produits </w:t>
      </w:r>
      <w:r w:rsidR="00A818E7">
        <w:rPr>
          <w:color w:val="212121"/>
          <w:shd w:val="clear" w:color="auto" w:fill="FFFFFF"/>
          <w:lang w:val="fr-CH"/>
        </w:rPr>
        <w:t xml:space="preserve">provenant </w:t>
      </w:r>
      <w:r w:rsidRPr="00936B48">
        <w:rPr>
          <w:color w:val="212121"/>
          <w:shd w:val="clear" w:color="auto" w:fill="FFFFFF"/>
          <w:lang w:val="fr-CH"/>
        </w:rPr>
        <w:t xml:space="preserve">de la pêche. La suppression des droits </w:t>
      </w:r>
      <w:r w:rsidR="00A818E7">
        <w:rPr>
          <w:color w:val="212121"/>
          <w:shd w:val="clear" w:color="auto" w:fill="FFFFFF"/>
          <w:lang w:val="fr-CH"/>
        </w:rPr>
        <w:t xml:space="preserve">de douane sur les produits </w:t>
      </w:r>
      <w:r w:rsidRPr="00936B48">
        <w:rPr>
          <w:color w:val="212121"/>
          <w:shd w:val="clear" w:color="auto" w:fill="FFFFFF"/>
          <w:lang w:val="fr-CH"/>
        </w:rPr>
        <w:t>industriels couvre donc tous les produits des chapitres 25 à 97 d</w:t>
      </w:r>
      <w:r w:rsidR="00A818E7">
        <w:rPr>
          <w:color w:val="212121"/>
          <w:shd w:val="clear" w:color="auto" w:fill="FFFFFF"/>
          <w:lang w:val="fr-CH"/>
        </w:rPr>
        <w:t>es</w:t>
      </w:r>
      <w:r w:rsidRPr="00936B48">
        <w:rPr>
          <w:color w:val="212121"/>
          <w:shd w:val="clear" w:color="auto" w:fill="FFFFFF"/>
          <w:lang w:val="fr-CH"/>
        </w:rPr>
        <w:t xml:space="preserve"> tarif</w:t>
      </w:r>
      <w:r w:rsidR="00A818E7">
        <w:rPr>
          <w:color w:val="212121"/>
          <w:shd w:val="clear" w:color="auto" w:fill="FFFFFF"/>
          <w:lang w:val="fr-CH"/>
        </w:rPr>
        <w:t>s</w:t>
      </w:r>
      <w:r w:rsidRPr="00936B48">
        <w:rPr>
          <w:color w:val="212121"/>
          <w:shd w:val="clear" w:color="auto" w:fill="FFFFFF"/>
          <w:lang w:val="fr-CH"/>
        </w:rPr>
        <w:t xml:space="preserve"> des douanes, à l</w:t>
      </w:r>
      <w:r w:rsidR="00A632A2">
        <w:rPr>
          <w:color w:val="212121"/>
          <w:shd w:val="clear" w:color="auto" w:fill="FFFFFF"/>
          <w:lang w:val="fr-CH"/>
        </w:rPr>
        <w:t>’</w:t>
      </w:r>
      <w:r w:rsidRPr="00936B48">
        <w:rPr>
          <w:color w:val="212121"/>
          <w:shd w:val="clear" w:color="auto" w:fill="FFFFFF"/>
          <w:lang w:val="fr-CH"/>
        </w:rPr>
        <w:t xml:space="preserve">exception de certains produits des chapitres 35 et 38, qui sont classés comme produits agricoles. </w:t>
      </w:r>
    </w:p>
    <w:p w14:paraId="4406F339" w14:textId="77777777" w:rsidR="00EE173B" w:rsidRPr="00936B48" w:rsidRDefault="00EE173B" w:rsidP="007131DE">
      <w:pPr>
        <w:shd w:val="clear" w:color="auto" w:fill="FFFFFF"/>
        <w:spacing w:after="0" w:line="240" w:lineRule="auto"/>
        <w:contextualSpacing/>
        <w:jc w:val="both"/>
        <w:rPr>
          <w:rFonts w:eastAsia="Times New Roman" w:cs="Times New Roman"/>
          <w:color w:val="212121"/>
          <w:lang w:val="fr-CH" w:eastAsia="de-CH"/>
        </w:rPr>
      </w:pPr>
    </w:p>
    <w:p w14:paraId="721943DE" w14:textId="5F31BA93" w:rsidR="00AD33B0" w:rsidRPr="00936B48" w:rsidRDefault="0004145F" w:rsidP="007131DE">
      <w:pPr>
        <w:shd w:val="clear" w:color="auto" w:fill="FFFFFF"/>
        <w:spacing w:after="0" w:line="240" w:lineRule="auto"/>
        <w:contextualSpacing/>
        <w:jc w:val="both"/>
        <w:rPr>
          <w:color w:val="212121"/>
          <w:shd w:val="clear" w:color="auto" w:fill="FFFFFF"/>
          <w:lang w:val="fr-CH"/>
        </w:rPr>
      </w:pPr>
      <w:r w:rsidRPr="00936B48">
        <w:rPr>
          <w:color w:val="212121"/>
          <w:shd w:val="clear" w:color="auto" w:fill="FFFFFF"/>
          <w:lang w:val="fr-CH"/>
        </w:rPr>
        <w:t>Dans le cadre de la suppression des droits de douane</w:t>
      </w:r>
      <w:r w:rsidR="00A818E7">
        <w:rPr>
          <w:color w:val="212121"/>
          <w:shd w:val="clear" w:color="auto" w:fill="FFFFFF"/>
          <w:lang w:val="fr-CH"/>
        </w:rPr>
        <w:t xml:space="preserve"> sur les produits</w:t>
      </w:r>
      <w:r w:rsidRPr="00936B48">
        <w:rPr>
          <w:color w:val="212121"/>
          <w:shd w:val="clear" w:color="auto" w:fill="FFFFFF"/>
          <w:lang w:val="fr-CH"/>
        </w:rPr>
        <w:t xml:space="preserve"> industriels, le tarif </w:t>
      </w:r>
      <w:r w:rsidR="00A818E7">
        <w:rPr>
          <w:color w:val="212121"/>
          <w:shd w:val="clear" w:color="auto" w:fill="FFFFFF"/>
          <w:lang w:val="fr-CH"/>
        </w:rPr>
        <w:t>de douane</w:t>
      </w:r>
      <w:r w:rsidRPr="00936B48">
        <w:rPr>
          <w:color w:val="212121"/>
          <w:shd w:val="clear" w:color="auto" w:fill="FFFFFF"/>
          <w:lang w:val="fr-CH"/>
        </w:rPr>
        <w:t xml:space="preserve"> suisse pour les produits industriels sera simplifié, car la </w:t>
      </w:r>
      <w:r w:rsidR="00A818E7">
        <w:rPr>
          <w:color w:val="212121"/>
          <w:shd w:val="clear" w:color="auto" w:fill="FFFFFF"/>
          <w:lang w:val="fr-CH"/>
        </w:rPr>
        <w:t>sub</w:t>
      </w:r>
      <w:r w:rsidRPr="00936B48">
        <w:rPr>
          <w:color w:val="212121"/>
          <w:shd w:val="clear" w:color="auto" w:fill="FFFFFF"/>
          <w:lang w:val="fr-CH"/>
        </w:rPr>
        <w:t xml:space="preserve">division </w:t>
      </w:r>
      <w:r w:rsidR="00A632A2">
        <w:rPr>
          <w:color w:val="212121"/>
          <w:shd w:val="clear" w:color="auto" w:fill="FFFFFF"/>
          <w:lang w:val="fr-CH"/>
        </w:rPr>
        <w:t>détaillée</w:t>
      </w:r>
      <w:r w:rsidRPr="00936B48">
        <w:rPr>
          <w:color w:val="212121"/>
          <w:shd w:val="clear" w:color="auto" w:fill="FFFFFF"/>
          <w:lang w:val="fr-CH"/>
        </w:rPr>
        <w:t xml:space="preserve"> au niveau national ne sera plus nécessaire. Cette simplification de la structure </w:t>
      </w:r>
      <w:r w:rsidR="00A818E7">
        <w:rPr>
          <w:color w:val="212121"/>
          <w:shd w:val="clear" w:color="auto" w:fill="FFFFFF"/>
          <w:lang w:val="fr-CH"/>
        </w:rPr>
        <w:t>des tarifs de douane</w:t>
      </w:r>
      <w:r w:rsidRPr="00936B48">
        <w:rPr>
          <w:color w:val="212121"/>
          <w:shd w:val="clear" w:color="auto" w:fill="FFFFFF"/>
          <w:lang w:val="fr-CH"/>
        </w:rPr>
        <w:t xml:space="preserve"> est obtenue en remplaçant les deux derniers chiffres des numéros tarifaires à huit chiffres par «00». </w:t>
      </w:r>
      <w:r w:rsidR="000D1005" w:rsidRPr="00936B48">
        <w:rPr>
          <w:lang w:val="fr-CH"/>
        </w:rPr>
        <w:t xml:space="preserve">La structure </w:t>
      </w:r>
      <w:r w:rsidR="00A818E7">
        <w:rPr>
          <w:color w:val="212121"/>
          <w:shd w:val="clear" w:color="auto" w:fill="FFFFFF"/>
          <w:lang w:val="fr-CH"/>
        </w:rPr>
        <w:t>des tarifs de douane</w:t>
      </w:r>
      <w:r w:rsidR="00A818E7" w:rsidRPr="00936B48">
        <w:rPr>
          <w:color w:val="212121"/>
          <w:shd w:val="clear" w:color="auto" w:fill="FFFFFF"/>
          <w:lang w:val="fr-CH"/>
        </w:rPr>
        <w:t xml:space="preserve"> </w:t>
      </w:r>
      <w:r w:rsidR="000D1005" w:rsidRPr="00936B48">
        <w:rPr>
          <w:lang w:val="fr-CH"/>
        </w:rPr>
        <w:t xml:space="preserve">dans le secteur agricole reste inchangée. </w:t>
      </w:r>
    </w:p>
    <w:p w14:paraId="0F0272BE" w14:textId="4F6A2943" w:rsidR="00AD33B0" w:rsidRPr="00936B48" w:rsidRDefault="00AD33B0" w:rsidP="007131DE">
      <w:pPr>
        <w:shd w:val="clear" w:color="auto" w:fill="FFFFFF"/>
        <w:spacing w:after="0" w:line="240" w:lineRule="auto"/>
        <w:contextualSpacing/>
        <w:jc w:val="both"/>
        <w:rPr>
          <w:rFonts w:eastAsia="Times New Roman" w:cs="Times New Roman"/>
          <w:color w:val="212121"/>
          <w:lang w:val="fr-CH" w:eastAsia="de-CH"/>
        </w:rPr>
      </w:pPr>
    </w:p>
    <w:p w14:paraId="5823050B" w14:textId="63086F34" w:rsidR="00422821" w:rsidRPr="00936B48" w:rsidRDefault="00A818E7" w:rsidP="007131DE">
      <w:pPr>
        <w:shd w:val="clear" w:color="auto" w:fill="FFFFFF"/>
        <w:spacing w:after="0" w:line="240" w:lineRule="auto"/>
        <w:contextualSpacing/>
        <w:jc w:val="both"/>
        <w:rPr>
          <w:rFonts w:eastAsia="Times New Roman" w:cs="Times New Roman"/>
          <w:color w:val="212121"/>
          <w:lang w:val="fr-CH" w:eastAsia="de-CH"/>
        </w:rPr>
      </w:pPr>
      <w:r>
        <w:rPr>
          <w:rFonts w:eastAsia="Times New Roman" w:cs="Times New Roman"/>
          <w:color w:val="212121"/>
          <w:lang w:val="fr-CH" w:eastAsia="de-CH"/>
        </w:rPr>
        <w:t>V</w:t>
      </w:r>
      <w:r w:rsidR="00422821" w:rsidRPr="00936B48">
        <w:rPr>
          <w:rFonts w:eastAsia="Times New Roman" w:cs="Times New Roman"/>
          <w:color w:val="212121"/>
          <w:lang w:val="fr-CH" w:eastAsia="de-CH"/>
        </w:rPr>
        <w:t xml:space="preserve">ous trouverez la </w:t>
      </w:r>
      <w:hyperlink r:id="rId8" w:history="1">
        <w:r w:rsidR="003B21A5">
          <w:rPr>
            <w:rStyle w:val="Lienhypertexte"/>
            <w:rFonts w:eastAsia="Times New Roman" w:cs="Times New Roman"/>
            <w:lang w:val="fr-CH" w:eastAsia="de-CH"/>
          </w:rPr>
          <w:t>«Liste de concordance des numéros de tarif»,</w:t>
        </w:r>
      </w:hyperlink>
      <w:r w:rsidR="00422821" w:rsidRPr="00936B48">
        <w:rPr>
          <w:rFonts w:eastAsia="Times New Roman" w:cs="Times New Roman"/>
          <w:color w:val="212121"/>
          <w:lang w:val="fr-CH" w:eastAsia="de-CH"/>
        </w:rPr>
        <w:t xml:space="preserve"> où vous pou</w:t>
      </w:r>
      <w:r>
        <w:rPr>
          <w:rFonts w:eastAsia="Times New Roman" w:cs="Times New Roman"/>
          <w:color w:val="212121"/>
          <w:lang w:val="fr-CH" w:eastAsia="de-CH"/>
        </w:rPr>
        <w:t>rr</w:t>
      </w:r>
      <w:r w:rsidR="00422821" w:rsidRPr="00936B48">
        <w:rPr>
          <w:rFonts w:eastAsia="Times New Roman" w:cs="Times New Roman"/>
          <w:color w:val="212121"/>
          <w:lang w:val="fr-CH" w:eastAsia="de-CH"/>
        </w:rPr>
        <w:t xml:space="preserve">ez consulter les numéros de tarif </w:t>
      </w:r>
      <w:r>
        <w:rPr>
          <w:rFonts w:eastAsia="Times New Roman" w:cs="Times New Roman"/>
          <w:color w:val="212121"/>
          <w:lang w:val="fr-CH" w:eastAsia="de-CH"/>
        </w:rPr>
        <w:t>de douane</w:t>
      </w:r>
      <w:r w:rsidR="00422821" w:rsidRPr="00936B48">
        <w:rPr>
          <w:rFonts w:eastAsia="Times New Roman" w:cs="Times New Roman"/>
          <w:color w:val="212121"/>
          <w:lang w:val="fr-CH" w:eastAsia="de-CH"/>
        </w:rPr>
        <w:t xml:space="preserve"> de vos produits au </w:t>
      </w:r>
      <w:r w:rsidR="00422821" w:rsidRPr="00936B48">
        <w:rPr>
          <w:rFonts w:eastAsia="Times New Roman" w:cs="Times New Roman"/>
          <w:b/>
          <w:bCs/>
          <w:color w:val="212121"/>
          <w:lang w:val="fr-CH" w:eastAsia="de-CH"/>
        </w:rPr>
        <w:t>01.01.2024</w:t>
      </w:r>
      <w:r w:rsidRPr="00A818E7">
        <w:rPr>
          <w:rFonts w:eastAsia="Times New Roman" w:cs="Times New Roman"/>
          <w:color w:val="212121"/>
          <w:lang w:val="fr-CH" w:eastAsia="de-CH"/>
        </w:rPr>
        <w:t xml:space="preserve"> </w:t>
      </w:r>
      <w:r>
        <w:rPr>
          <w:rFonts w:eastAsia="Times New Roman" w:cs="Times New Roman"/>
          <w:color w:val="212121"/>
          <w:lang w:val="fr-CH" w:eastAsia="de-CH"/>
        </w:rPr>
        <w:t>sur le site Internet</w:t>
      </w:r>
      <w:r w:rsidRPr="00936B48">
        <w:rPr>
          <w:rFonts w:eastAsia="Times New Roman" w:cs="Times New Roman"/>
          <w:color w:val="212121"/>
          <w:lang w:val="fr-CH" w:eastAsia="de-CH"/>
        </w:rPr>
        <w:t xml:space="preserve"> de l'Office fédéral de la douane et de la sécurité des frontières (OFDF)</w:t>
      </w:r>
      <w:r w:rsidR="00422821" w:rsidRPr="002F7A0B">
        <w:rPr>
          <w:rFonts w:eastAsia="Times New Roman" w:cs="Times New Roman"/>
          <w:color w:val="212121"/>
          <w:lang w:val="fr-CH" w:eastAsia="de-CH"/>
        </w:rPr>
        <w:t xml:space="preserve">. </w:t>
      </w:r>
      <w:r w:rsidR="00A83E9A" w:rsidRPr="00936B48">
        <w:rPr>
          <w:rFonts w:eastAsia="Times New Roman" w:cs="Times New Roman"/>
          <w:color w:val="212121"/>
          <w:lang w:val="fr-CH" w:eastAsia="de-CH"/>
        </w:rPr>
        <w:t xml:space="preserve">Nous vous recommandons de mettre à jour les nouveaux numéros de tarif douanier dans vos données de base </w:t>
      </w:r>
      <w:r w:rsidR="00A632A2">
        <w:rPr>
          <w:rFonts w:eastAsia="Times New Roman" w:cs="Times New Roman"/>
          <w:color w:val="212121"/>
          <w:lang w:val="fr-CH" w:eastAsia="de-CH"/>
        </w:rPr>
        <w:t>en temps utile</w:t>
      </w:r>
      <w:r w:rsidR="00A83E9A" w:rsidRPr="00936B48">
        <w:rPr>
          <w:rFonts w:eastAsia="Times New Roman" w:cs="Times New Roman"/>
          <w:color w:val="212121"/>
          <w:lang w:val="fr-CH" w:eastAsia="de-CH"/>
        </w:rPr>
        <w:t xml:space="preserve">. Vous trouverez </w:t>
      </w:r>
      <w:hyperlink r:id="rId9" w:history="1">
        <w:r>
          <w:rPr>
            <w:rStyle w:val="Lienhypertexte"/>
            <w:rFonts w:eastAsia="Times New Roman" w:cs="Times New Roman"/>
            <w:lang w:val="fr-CH" w:eastAsia="de-CH"/>
          </w:rPr>
          <w:t>ici</w:t>
        </w:r>
      </w:hyperlink>
      <w:r w:rsidR="00A83E9A" w:rsidRPr="00936B48">
        <w:rPr>
          <w:rFonts w:eastAsia="Times New Roman" w:cs="Times New Roman"/>
          <w:color w:val="212121"/>
          <w:lang w:val="fr-CH" w:eastAsia="de-CH"/>
        </w:rPr>
        <w:t xml:space="preserve"> d'autres listes de numéros tarifaires et de structures tarifaires</w:t>
      </w:r>
      <w:hyperlink r:id="rId10" w:history="1"/>
      <w:r w:rsidR="00A83E9A" w:rsidRPr="00936B48">
        <w:rPr>
          <w:rFonts w:eastAsia="Times New Roman" w:cs="Times New Roman"/>
          <w:color w:val="212121"/>
          <w:lang w:val="fr-CH" w:eastAsia="de-CH"/>
        </w:rPr>
        <w:t xml:space="preserve">. </w:t>
      </w:r>
    </w:p>
    <w:p w14:paraId="203FF5AF" w14:textId="77777777" w:rsidR="00A83E9A" w:rsidRPr="00936B48" w:rsidRDefault="00A83E9A" w:rsidP="007131DE">
      <w:pPr>
        <w:shd w:val="clear" w:color="auto" w:fill="FFFFFF"/>
        <w:spacing w:after="0" w:line="240" w:lineRule="auto"/>
        <w:contextualSpacing/>
        <w:jc w:val="both"/>
        <w:rPr>
          <w:rFonts w:eastAsia="Times New Roman" w:cs="Times New Roman"/>
          <w:color w:val="212121"/>
          <w:lang w:val="fr-CH" w:eastAsia="de-CH"/>
        </w:rPr>
      </w:pPr>
    </w:p>
    <w:p w14:paraId="266C85B0" w14:textId="2804041B" w:rsidR="00A83E9A" w:rsidRPr="00936B48" w:rsidRDefault="00B14895" w:rsidP="007131DE">
      <w:pPr>
        <w:shd w:val="clear" w:color="auto" w:fill="FFFFFF"/>
        <w:spacing w:after="0" w:line="240" w:lineRule="auto"/>
        <w:contextualSpacing/>
        <w:jc w:val="both"/>
        <w:rPr>
          <w:rFonts w:eastAsia="Times New Roman" w:cs="Times New Roman"/>
          <w:b/>
          <w:bCs/>
          <w:lang w:val="fr-CH" w:eastAsia="de-CH"/>
        </w:rPr>
      </w:pPr>
      <w:r w:rsidRPr="00936B48">
        <w:rPr>
          <w:rFonts w:eastAsia="Times New Roman" w:cs="Times New Roman"/>
          <w:b/>
          <w:bCs/>
          <w:lang w:val="fr-CH" w:eastAsia="de-CH"/>
        </w:rPr>
        <w:t>NOTE</w:t>
      </w:r>
    </w:p>
    <w:p w14:paraId="39BCFC16" w14:textId="46B9078B" w:rsidR="00E45B73" w:rsidRPr="00936B48" w:rsidRDefault="00E45B73" w:rsidP="007131DE">
      <w:pPr>
        <w:shd w:val="clear" w:color="auto" w:fill="FFFFFF"/>
        <w:spacing w:after="0" w:line="240" w:lineRule="auto"/>
        <w:contextualSpacing/>
        <w:jc w:val="both"/>
        <w:rPr>
          <w:rFonts w:eastAsia="Times New Roman" w:cs="Times New Roman"/>
          <w:color w:val="212121"/>
          <w:lang w:val="fr-CH" w:eastAsia="de-CH"/>
        </w:rPr>
      </w:pPr>
      <w:r w:rsidRPr="00936B48">
        <w:rPr>
          <w:rFonts w:eastAsia="Times New Roman" w:cs="Times New Roman"/>
          <w:color w:val="212121"/>
          <w:lang w:val="fr-CH" w:eastAsia="de-CH"/>
        </w:rPr>
        <w:t xml:space="preserve">Les droits </w:t>
      </w:r>
      <w:r w:rsidR="00A818E7">
        <w:rPr>
          <w:rFonts w:eastAsia="Times New Roman" w:cs="Times New Roman"/>
          <w:color w:val="212121"/>
          <w:lang w:val="fr-CH" w:eastAsia="de-CH"/>
        </w:rPr>
        <w:t xml:space="preserve">de douane sur </w:t>
      </w:r>
      <w:r w:rsidRPr="00936B48">
        <w:rPr>
          <w:rFonts w:eastAsia="Times New Roman" w:cs="Times New Roman"/>
          <w:color w:val="212121"/>
          <w:lang w:val="fr-CH" w:eastAsia="de-CH"/>
        </w:rPr>
        <w:t xml:space="preserve">l'importation restent inchangés pour les marchandises énumérées aux chapitres 1 à 24 du tarif </w:t>
      </w:r>
      <w:r w:rsidR="003108A5">
        <w:rPr>
          <w:rFonts w:eastAsia="Times New Roman" w:cs="Times New Roman"/>
          <w:color w:val="212121"/>
          <w:lang w:val="fr-CH" w:eastAsia="de-CH"/>
        </w:rPr>
        <w:t>de douane</w:t>
      </w:r>
      <w:r w:rsidRPr="00936B48">
        <w:rPr>
          <w:rFonts w:eastAsia="Times New Roman" w:cs="Times New Roman"/>
          <w:color w:val="212121"/>
          <w:lang w:val="fr-CH" w:eastAsia="de-CH"/>
        </w:rPr>
        <w:t xml:space="preserve"> suisse et pour les produits énumérés aux chapitres 35 et 38</w:t>
      </w:r>
      <w:r w:rsidR="003108A5">
        <w:rPr>
          <w:rFonts w:eastAsia="Times New Roman" w:cs="Times New Roman"/>
          <w:color w:val="212121"/>
          <w:lang w:val="fr-CH" w:eastAsia="de-CH"/>
        </w:rPr>
        <w:t>,</w:t>
      </w:r>
      <w:r w:rsidRPr="00936B48">
        <w:rPr>
          <w:rFonts w:eastAsia="Times New Roman" w:cs="Times New Roman"/>
          <w:color w:val="212121"/>
          <w:lang w:val="fr-CH" w:eastAsia="de-CH"/>
        </w:rPr>
        <w:t xml:space="preserve"> qui sont classés comme produits agricoles. D'autres </w:t>
      </w:r>
      <w:r w:rsidR="003108A5">
        <w:rPr>
          <w:rFonts w:eastAsia="Times New Roman" w:cs="Times New Roman"/>
          <w:color w:val="212121"/>
          <w:lang w:val="fr-CH" w:eastAsia="de-CH"/>
        </w:rPr>
        <w:t>redevances</w:t>
      </w:r>
      <w:r w:rsidRPr="00936B48">
        <w:rPr>
          <w:rFonts w:eastAsia="Times New Roman" w:cs="Times New Roman"/>
          <w:color w:val="212121"/>
          <w:lang w:val="fr-CH" w:eastAsia="de-CH"/>
        </w:rPr>
        <w:t xml:space="preserve"> et taxes sont également </w:t>
      </w:r>
      <w:r w:rsidR="00A632A2">
        <w:rPr>
          <w:rFonts w:eastAsia="Times New Roman" w:cs="Times New Roman"/>
          <w:color w:val="212121"/>
          <w:lang w:val="fr-CH" w:eastAsia="de-CH"/>
        </w:rPr>
        <w:t xml:space="preserve">toujours </w:t>
      </w:r>
      <w:r w:rsidRPr="00936B48">
        <w:rPr>
          <w:rFonts w:eastAsia="Times New Roman" w:cs="Times New Roman"/>
          <w:color w:val="212121"/>
          <w:lang w:val="fr-CH" w:eastAsia="de-CH"/>
        </w:rPr>
        <w:t>dus lors de l'importation en Suisse.</w:t>
      </w:r>
    </w:p>
    <w:p w14:paraId="358E6333" w14:textId="77777777" w:rsidR="00E45B73" w:rsidRPr="00936B48" w:rsidRDefault="00E45B73" w:rsidP="007131DE">
      <w:pPr>
        <w:shd w:val="clear" w:color="auto" w:fill="FFFFFF"/>
        <w:spacing w:after="0" w:line="240" w:lineRule="auto"/>
        <w:contextualSpacing/>
        <w:jc w:val="both"/>
        <w:rPr>
          <w:rFonts w:eastAsia="Times New Roman" w:cs="Times New Roman"/>
          <w:color w:val="212121"/>
          <w:lang w:val="fr-CH" w:eastAsia="de-CH"/>
        </w:rPr>
      </w:pPr>
    </w:p>
    <w:p w14:paraId="7A72D65A" w14:textId="461B3ECD" w:rsidR="00E45B73" w:rsidRPr="00936B48" w:rsidRDefault="00E45B73" w:rsidP="007131DE">
      <w:pPr>
        <w:shd w:val="clear" w:color="auto" w:fill="FFFFFF"/>
        <w:spacing w:after="0" w:line="240" w:lineRule="auto"/>
        <w:contextualSpacing/>
        <w:jc w:val="both"/>
        <w:rPr>
          <w:rFonts w:eastAsia="Times New Roman" w:cs="Times New Roman"/>
          <w:color w:val="212121"/>
          <w:lang w:val="fr-CH" w:eastAsia="de-CH"/>
        </w:rPr>
      </w:pPr>
    </w:p>
    <w:p w14:paraId="402DCF4E" w14:textId="7799434D" w:rsidR="00AD33B0" w:rsidRPr="00936B48" w:rsidRDefault="0005600F" w:rsidP="007131DE">
      <w:pPr>
        <w:pStyle w:val="Default"/>
        <w:contextualSpacing/>
        <w:jc w:val="both"/>
        <w:rPr>
          <w:rFonts w:ascii="Frutiger LT 45 Light" w:hAnsi="Frutiger LT 45 Light"/>
          <w:b/>
          <w:bCs/>
          <w:lang w:val="fr-CH"/>
        </w:rPr>
        <w:sectPr w:rsidR="00AD33B0" w:rsidRPr="00936B48" w:rsidSect="00CC72E2">
          <w:headerReference w:type="default" r:id="rId11"/>
          <w:pgSz w:w="11906" w:h="17338"/>
          <w:pgMar w:top="2651" w:right="907" w:bottom="794" w:left="907" w:header="720" w:footer="397" w:gutter="0"/>
          <w:cols w:space="720"/>
          <w:noEndnote/>
          <w:docGrid w:linePitch="299"/>
        </w:sectPr>
      </w:pPr>
      <w:r>
        <w:rPr>
          <w:rStyle w:val="Lienhypertexte"/>
          <w:rFonts w:ascii="Frutiger LT 45 Light" w:hAnsi="Frutiger LT 45 Light"/>
          <w:b/>
          <w:bCs/>
          <w:color w:val="000000"/>
          <w:u w:val="none"/>
          <w:lang w:val="fr-CH"/>
        </w:rPr>
        <w:t xml:space="preserve">Conséquences </w:t>
      </w:r>
      <w:r w:rsidR="00E45B73" w:rsidRPr="00936B48">
        <w:rPr>
          <w:rStyle w:val="Lienhypertexte"/>
          <w:rFonts w:ascii="Frutiger LT 45 Light" w:hAnsi="Frutiger LT 45 Light"/>
          <w:b/>
          <w:bCs/>
          <w:color w:val="000000"/>
          <w:u w:val="none"/>
          <w:lang w:val="fr-CH"/>
        </w:rPr>
        <w:t>sur le cumul de l'origine dans le cadre des accords de libre-échange</w:t>
      </w:r>
    </w:p>
    <w:p w14:paraId="5C3FE3D0" w14:textId="14E2856D" w:rsidR="00702C5C" w:rsidRPr="00936B48" w:rsidRDefault="00702C5C" w:rsidP="007131DE">
      <w:pPr>
        <w:pStyle w:val="Default"/>
        <w:contextualSpacing/>
        <w:jc w:val="both"/>
        <w:rPr>
          <w:rFonts w:ascii="Frutiger LT 45 Light" w:hAnsi="Frutiger LT 45 Light"/>
          <w:color w:val="212121"/>
          <w:sz w:val="22"/>
          <w:szCs w:val="22"/>
          <w:shd w:val="clear" w:color="auto" w:fill="FFFFFF"/>
          <w:lang w:val="fr-CH"/>
        </w:rPr>
      </w:pPr>
      <w:r w:rsidRPr="00936B48">
        <w:rPr>
          <w:rFonts w:ascii="Frutiger LT 45 Light" w:hAnsi="Frutiger LT 45 Light"/>
          <w:color w:val="212121"/>
          <w:sz w:val="22"/>
          <w:szCs w:val="22"/>
          <w:shd w:val="clear" w:color="auto" w:fill="FFFFFF"/>
          <w:lang w:val="fr-CH"/>
        </w:rPr>
        <w:t xml:space="preserve">Les produits industriels pourront être importés en Suisse en franchise de droits </w:t>
      </w:r>
      <w:r w:rsidR="0005600F">
        <w:rPr>
          <w:rFonts w:ascii="Frutiger LT 45 Light" w:hAnsi="Frutiger LT 45 Light"/>
          <w:color w:val="212121"/>
          <w:sz w:val="22"/>
          <w:szCs w:val="22"/>
          <w:shd w:val="clear" w:color="auto" w:fill="FFFFFF"/>
          <w:lang w:val="fr-CH"/>
        </w:rPr>
        <w:t xml:space="preserve">de douane </w:t>
      </w:r>
      <w:r w:rsidRPr="00936B48">
        <w:rPr>
          <w:rFonts w:ascii="Frutiger LT 45 Light" w:hAnsi="Frutiger LT 45 Light"/>
          <w:color w:val="212121"/>
          <w:sz w:val="22"/>
          <w:szCs w:val="22"/>
          <w:shd w:val="clear" w:color="auto" w:fill="FFFFFF"/>
          <w:lang w:val="fr-CH"/>
        </w:rPr>
        <w:t>à partir du 1</w:t>
      </w:r>
      <w:r w:rsidRPr="0005600F">
        <w:rPr>
          <w:rFonts w:ascii="Frutiger LT 45 Light" w:hAnsi="Frutiger LT 45 Light"/>
          <w:color w:val="212121"/>
          <w:sz w:val="22"/>
          <w:szCs w:val="22"/>
          <w:shd w:val="clear" w:color="auto" w:fill="FFFFFF"/>
          <w:vertAlign w:val="superscript"/>
          <w:lang w:val="fr-CH"/>
        </w:rPr>
        <w:t xml:space="preserve">er </w:t>
      </w:r>
      <w:r w:rsidRPr="00936B48">
        <w:rPr>
          <w:rFonts w:ascii="Frutiger LT 45 Light" w:hAnsi="Frutiger LT 45 Light"/>
          <w:color w:val="212121"/>
          <w:sz w:val="22"/>
          <w:szCs w:val="22"/>
          <w:shd w:val="clear" w:color="auto" w:fill="FFFFFF"/>
          <w:lang w:val="fr-CH"/>
        </w:rPr>
        <w:t>janvier 2024. Les importations de produits industriels</w:t>
      </w:r>
      <w:r w:rsidR="0005600F">
        <w:rPr>
          <w:rFonts w:ascii="Frutiger LT 45 Light" w:hAnsi="Frutiger LT 45 Light"/>
          <w:color w:val="212121"/>
          <w:sz w:val="22"/>
          <w:szCs w:val="22"/>
          <w:shd w:val="clear" w:color="auto" w:fill="FFFFFF"/>
          <w:lang w:val="fr-CH"/>
        </w:rPr>
        <w:t>,</w:t>
      </w:r>
      <w:r w:rsidRPr="00936B48">
        <w:rPr>
          <w:rFonts w:ascii="Frutiger LT 45 Light" w:hAnsi="Frutiger LT 45 Light"/>
          <w:color w:val="212121"/>
          <w:sz w:val="22"/>
          <w:szCs w:val="22"/>
          <w:shd w:val="clear" w:color="auto" w:fill="FFFFFF"/>
          <w:lang w:val="fr-CH"/>
        </w:rPr>
        <w:t xml:space="preserve"> dont il est certain au moment de l'importation qu'ils resteront en Suisse ou qu'ils y sont consommés</w:t>
      </w:r>
      <w:r w:rsidR="0005600F">
        <w:rPr>
          <w:rFonts w:ascii="Frutiger LT 45 Light" w:hAnsi="Frutiger LT 45 Light"/>
          <w:color w:val="212121"/>
          <w:sz w:val="22"/>
          <w:szCs w:val="22"/>
          <w:shd w:val="clear" w:color="auto" w:fill="FFFFFF"/>
          <w:lang w:val="fr-CH"/>
        </w:rPr>
        <w:t>,</w:t>
      </w:r>
      <w:r w:rsidRPr="00936B48">
        <w:rPr>
          <w:rFonts w:ascii="Frutiger LT 45 Light" w:hAnsi="Frutiger LT 45 Light"/>
          <w:color w:val="212121"/>
          <w:sz w:val="22"/>
          <w:szCs w:val="22"/>
          <w:shd w:val="clear" w:color="auto" w:fill="FFFFFF"/>
          <w:lang w:val="fr-CH"/>
        </w:rPr>
        <w:t xml:space="preserve"> ne dépendent donc plus de l'utilisation d'accords de libre-échange (ALE) ou du Système </w:t>
      </w:r>
      <w:r w:rsidR="0005600F" w:rsidRPr="00936B48">
        <w:rPr>
          <w:rFonts w:ascii="Frutiger LT 45 Light" w:hAnsi="Frutiger LT 45 Light"/>
          <w:color w:val="212121"/>
          <w:sz w:val="22"/>
          <w:szCs w:val="22"/>
          <w:shd w:val="clear" w:color="auto" w:fill="FFFFFF"/>
          <w:lang w:val="fr-CH"/>
        </w:rPr>
        <w:t xml:space="preserve">généralisé </w:t>
      </w:r>
      <w:r w:rsidRPr="00936B48">
        <w:rPr>
          <w:rFonts w:ascii="Frutiger LT 45 Light" w:hAnsi="Frutiger LT 45 Light"/>
          <w:color w:val="212121"/>
          <w:sz w:val="22"/>
          <w:szCs w:val="22"/>
          <w:shd w:val="clear" w:color="auto" w:fill="FFFFFF"/>
          <w:lang w:val="fr-CH"/>
        </w:rPr>
        <w:t xml:space="preserve">de préférences en faveur des pays en </w:t>
      </w:r>
      <w:r w:rsidR="007D0676">
        <w:rPr>
          <w:rFonts w:ascii="Frutiger LT 45 Light" w:hAnsi="Frutiger LT 45 Light"/>
          <w:color w:val="212121"/>
          <w:sz w:val="22"/>
          <w:szCs w:val="22"/>
          <w:shd w:val="clear" w:color="auto" w:fill="FFFFFF"/>
          <w:lang w:val="fr-CH"/>
        </w:rPr>
        <w:t xml:space="preserve">voie de </w:t>
      </w:r>
      <w:r w:rsidRPr="00936B48">
        <w:rPr>
          <w:rFonts w:ascii="Frutiger LT 45 Light" w:hAnsi="Frutiger LT 45 Light"/>
          <w:color w:val="212121"/>
          <w:sz w:val="22"/>
          <w:szCs w:val="22"/>
          <w:shd w:val="clear" w:color="auto" w:fill="FFFFFF"/>
          <w:lang w:val="fr-CH"/>
        </w:rPr>
        <w:t>développement (SG</w:t>
      </w:r>
      <w:r w:rsidR="0005600F">
        <w:rPr>
          <w:rFonts w:ascii="Frutiger LT 45 Light" w:hAnsi="Frutiger LT 45 Light"/>
          <w:color w:val="212121"/>
          <w:sz w:val="22"/>
          <w:szCs w:val="22"/>
          <w:shd w:val="clear" w:color="auto" w:fill="FFFFFF"/>
          <w:lang w:val="fr-CH"/>
        </w:rPr>
        <w:t>P</w:t>
      </w:r>
      <w:r w:rsidRPr="00936B48">
        <w:rPr>
          <w:rFonts w:ascii="Frutiger LT 45 Light" w:hAnsi="Frutiger LT 45 Light"/>
          <w:color w:val="212121"/>
          <w:sz w:val="22"/>
          <w:szCs w:val="22"/>
          <w:shd w:val="clear" w:color="auto" w:fill="FFFFFF"/>
          <w:lang w:val="fr-CH"/>
        </w:rPr>
        <w:t>/</w:t>
      </w:r>
      <w:r w:rsidR="0005600F">
        <w:rPr>
          <w:rFonts w:ascii="Frutiger LT 45 Light" w:hAnsi="Frutiger LT 45 Light"/>
          <w:color w:val="212121"/>
          <w:sz w:val="22"/>
          <w:szCs w:val="22"/>
          <w:shd w:val="clear" w:color="auto" w:fill="FFFFFF"/>
          <w:lang w:val="fr-CH"/>
        </w:rPr>
        <w:t>GSP</w:t>
      </w:r>
      <w:r w:rsidRPr="00936B48">
        <w:rPr>
          <w:rFonts w:ascii="Frutiger LT 45 Light" w:hAnsi="Frutiger LT 45 Light"/>
          <w:color w:val="212121"/>
          <w:sz w:val="22"/>
          <w:szCs w:val="22"/>
          <w:shd w:val="clear" w:color="auto" w:fill="FFFFFF"/>
          <w:lang w:val="fr-CH"/>
        </w:rPr>
        <w:t>). Il n'est donc plus nécessaire de présenter des preuves d'origine préférentielle pour ces marchandises</w:t>
      </w:r>
      <w:r w:rsidR="0005600F">
        <w:rPr>
          <w:rFonts w:ascii="Frutiger LT 45 Light" w:hAnsi="Frutiger LT 45 Light"/>
          <w:color w:val="212121"/>
          <w:sz w:val="22"/>
          <w:szCs w:val="22"/>
          <w:shd w:val="clear" w:color="auto" w:fill="FFFFFF"/>
          <w:lang w:val="fr-CH"/>
        </w:rPr>
        <w:t>,</w:t>
      </w:r>
      <w:r w:rsidRPr="00936B48">
        <w:rPr>
          <w:rFonts w:ascii="Frutiger LT 45 Light" w:hAnsi="Frutiger LT 45 Light"/>
          <w:color w:val="212121"/>
          <w:sz w:val="22"/>
          <w:szCs w:val="22"/>
          <w:shd w:val="clear" w:color="auto" w:fill="FFFFFF"/>
          <w:lang w:val="fr-CH"/>
        </w:rPr>
        <w:t xml:space="preserve"> afin de les importer en Suisse </w:t>
      </w:r>
      <w:r w:rsidR="0005600F">
        <w:rPr>
          <w:rFonts w:ascii="Frutiger LT 45 Light" w:hAnsi="Frutiger LT 45 Light"/>
          <w:color w:val="212121"/>
          <w:sz w:val="22"/>
          <w:szCs w:val="22"/>
          <w:shd w:val="clear" w:color="auto" w:fill="FFFFFF"/>
          <w:lang w:val="fr-CH"/>
        </w:rPr>
        <w:t>exonérées des droits de douane</w:t>
      </w:r>
      <w:r w:rsidRPr="00936B48">
        <w:rPr>
          <w:rFonts w:ascii="Frutiger LT 45 Light" w:hAnsi="Frutiger LT 45 Light"/>
          <w:color w:val="212121"/>
          <w:sz w:val="22"/>
          <w:szCs w:val="22"/>
          <w:shd w:val="clear" w:color="auto" w:fill="FFFFFF"/>
          <w:lang w:val="fr-CH"/>
        </w:rPr>
        <w:t xml:space="preserve">. </w:t>
      </w:r>
    </w:p>
    <w:p w14:paraId="50FAD015" w14:textId="77777777" w:rsidR="00702C5C" w:rsidRPr="00936B48" w:rsidRDefault="00702C5C" w:rsidP="007131DE">
      <w:pPr>
        <w:pStyle w:val="Default"/>
        <w:contextualSpacing/>
        <w:jc w:val="both"/>
        <w:rPr>
          <w:rFonts w:ascii="Frutiger LT 45 Light" w:hAnsi="Frutiger LT 45 Light"/>
          <w:color w:val="212121"/>
          <w:sz w:val="22"/>
          <w:szCs w:val="22"/>
          <w:shd w:val="clear" w:color="auto" w:fill="FFFFFF"/>
          <w:lang w:val="fr-CH"/>
        </w:rPr>
      </w:pPr>
    </w:p>
    <w:p w14:paraId="4C2EF499" w14:textId="5332DD53" w:rsidR="00156134" w:rsidRPr="00936B48" w:rsidRDefault="00E45B73" w:rsidP="007131DE">
      <w:pPr>
        <w:pStyle w:val="Default"/>
        <w:contextualSpacing/>
        <w:jc w:val="both"/>
        <w:rPr>
          <w:rFonts w:ascii="Frutiger LT 45 Light" w:hAnsi="Frutiger LT 45 Light"/>
          <w:color w:val="212121"/>
          <w:sz w:val="22"/>
          <w:szCs w:val="22"/>
          <w:shd w:val="clear" w:color="auto" w:fill="FFFFFF"/>
          <w:lang w:val="fr-CH"/>
        </w:rPr>
      </w:pPr>
      <w:r w:rsidRPr="00936B48">
        <w:rPr>
          <w:rFonts w:ascii="Frutiger LT 45 Light" w:hAnsi="Frutiger LT 45 Light"/>
          <w:color w:val="212121"/>
          <w:sz w:val="22"/>
          <w:szCs w:val="22"/>
          <w:shd w:val="clear" w:color="auto" w:fill="FFFFFF"/>
          <w:lang w:val="fr-CH"/>
        </w:rPr>
        <w:t>Malgré la suppression des droits de douane sur les produits industriels, il peut toujours être nécessaire d'obtenir une preuve d'origine lors de l'importation. C'est le cas lorsque le</w:t>
      </w:r>
      <w:r w:rsidR="0005600F">
        <w:rPr>
          <w:rFonts w:ascii="Frutiger LT 45 Light" w:hAnsi="Frutiger LT 45 Light"/>
          <w:color w:val="212121"/>
          <w:sz w:val="22"/>
          <w:szCs w:val="22"/>
          <w:shd w:val="clear" w:color="auto" w:fill="FFFFFF"/>
          <w:lang w:val="fr-CH"/>
        </w:rPr>
        <w:t>s matières premières sont</w:t>
      </w:r>
      <w:r w:rsidRPr="00936B48">
        <w:rPr>
          <w:rFonts w:ascii="Frutiger LT 45 Light" w:hAnsi="Frutiger LT 45 Light"/>
          <w:color w:val="212121"/>
          <w:sz w:val="22"/>
          <w:szCs w:val="22"/>
          <w:shd w:val="clear" w:color="auto" w:fill="FFFFFF"/>
          <w:lang w:val="fr-CH"/>
        </w:rPr>
        <w:t xml:space="preserve"> accumulé</w:t>
      </w:r>
      <w:r w:rsidR="0005600F">
        <w:rPr>
          <w:rFonts w:ascii="Frutiger LT 45 Light" w:hAnsi="Frutiger LT 45 Light"/>
          <w:color w:val="212121"/>
          <w:sz w:val="22"/>
          <w:szCs w:val="22"/>
          <w:shd w:val="clear" w:color="auto" w:fill="FFFFFF"/>
          <w:lang w:val="fr-CH"/>
        </w:rPr>
        <w:t>es</w:t>
      </w:r>
      <w:r w:rsidRPr="00936B48">
        <w:rPr>
          <w:rFonts w:ascii="Frutiger LT 45 Light" w:hAnsi="Frutiger LT 45 Light"/>
          <w:color w:val="212121"/>
          <w:sz w:val="22"/>
          <w:szCs w:val="22"/>
          <w:shd w:val="clear" w:color="auto" w:fill="FFFFFF"/>
          <w:lang w:val="fr-CH"/>
        </w:rPr>
        <w:t xml:space="preserve"> ou que les marchandises sont réexportées dans un état non modifié avec preuve d'origine. Si vous souhaitez utiliser le cumul de l'origine du côté de l'exportation, vous êtes toujours dépendant de la preuve d'origine du fournisseur, appelée </w:t>
      </w:r>
      <w:r w:rsidR="00D7088B">
        <w:rPr>
          <w:rFonts w:ascii="Frutiger LT 45 Light" w:hAnsi="Frutiger LT 45 Light"/>
          <w:color w:val="212121"/>
          <w:sz w:val="22"/>
          <w:szCs w:val="22"/>
          <w:shd w:val="clear" w:color="auto" w:fill="FFFFFF"/>
          <w:lang w:val="fr-CH"/>
        </w:rPr>
        <w:t>preuve</w:t>
      </w:r>
      <w:r w:rsidRPr="00936B48">
        <w:rPr>
          <w:rFonts w:ascii="Frutiger LT 45 Light" w:hAnsi="Frutiger LT 45 Light"/>
          <w:color w:val="212121"/>
          <w:sz w:val="22"/>
          <w:szCs w:val="22"/>
          <w:shd w:val="clear" w:color="auto" w:fill="FFFFFF"/>
          <w:lang w:val="fr-CH"/>
        </w:rPr>
        <w:t xml:space="preserve"> d'origine</w:t>
      </w:r>
      <w:r w:rsidR="00D7088B">
        <w:rPr>
          <w:rFonts w:ascii="Frutiger LT 45 Light" w:hAnsi="Frutiger LT 45 Light"/>
          <w:color w:val="212121"/>
          <w:sz w:val="22"/>
          <w:szCs w:val="22"/>
          <w:shd w:val="clear" w:color="auto" w:fill="FFFFFF"/>
          <w:lang w:val="fr-CH"/>
        </w:rPr>
        <w:t xml:space="preserve"> préalab</w:t>
      </w:r>
      <w:r w:rsidR="007D0676">
        <w:rPr>
          <w:rFonts w:ascii="Frutiger LT 45 Light" w:hAnsi="Frutiger LT 45 Light"/>
          <w:color w:val="212121"/>
          <w:sz w:val="22"/>
          <w:szCs w:val="22"/>
          <w:shd w:val="clear" w:color="auto" w:fill="FFFFFF"/>
          <w:lang w:val="fr-CH"/>
        </w:rPr>
        <w:t>l</w:t>
      </w:r>
      <w:r w:rsidR="00D7088B">
        <w:rPr>
          <w:rFonts w:ascii="Frutiger LT 45 Light" w:hAnsi="Frutiger LT 45 Light"/>
          <w:color w:val="212121"/>
          <w:sz w:val="22"/>
          <w:szCs w:val="22"/>
          <w:shd w:val="clear" w:color="auto" w:fill="FFFFFF"/>
          <w:lang w:val="fr-CH"/>
        </w:rPr>
        <w:t>e</w:t>
      </w:r>
      <w:r w:rsidRPr="00936B48">
        <w:rPr>
          <w:rFonts w:ascii="Frutiger LT 45 Light" w:hAnsi="Frutiger LT 45 Light"/>
          <w:color w:val="212121"/>
          <w:sz w:val="22"/>
          <w:szCs w:val="22"/>
          <w:shd w:val="clear" w:color="auto" w:fill="FFFFFF"/>
          <w:lang w:val="fr-CH"/>
        </w:rPr>
        <w:t xml:space="preserve">, lors de l'importation des marchandises concernées. </w:t>
      </w:r>
    </w:p>
    <w:p w14:paraId="36B98DA2" w14:textId="1AD89291" w:rsidR="00156134" w:rsidRPr="00936B48" w:rsidRDefault="00156134" w:rsidP="007131DE">
      <w:pPr>
        <w:spacing w:after="0" w:line="240" w:lineRule="auto"/>
        <w:contextualSpacing/>
        <w:jc w:val="both"/>
        <w:rPr>
          <w:lang w:val="fr-CH"/>
        </w:rPr>
      </w:pPr>
    </w:p>
    <w:p w14:paraId="6CA59ECD" w14:textId="77777777" w:rsidR="00EE173B" w:rsidRPr="00936B48" w:rsidRDefault="00EE173B" w:rsidP="007131DE">
      <w:pPr>
        <w:spacing w:after="0" w:line="240" w:lineRule="auto"/>
        <w:contextualSpacing/>
        <w:jc w:val="both"/>
        <w:rPr>
          <w:lang w:val="fr-CH"/>
        </w:rPr>
      </w:pPr>
    </w:p>
    <w:p w14:paraId="1B0A2F31" w14:textId="77777777" w:rsidR="00CC72E2" w:rsidRPr="00936B48" w:rsidRDefault="001A4536" w:rsidP="007131DE">
      <w:pPr>
        <w:jc w:val="both"/>
        <w:rPr>
          <w:b/>
          <w:bCs/>
          <w:lang w:val="fr-CH"/>
        </w:rPr>
      </w:pPr>
      <w:r w:rsidRPr="00936B48">
        <w:rPr>
          <w:b/>
          <w:bCs/>
          <w:lang w:val="fr-CH"/>
        </w:rPr>
        <w:br w:type="page"/>
      </w:r>
    </w:p>
    <w:p w14:paraId="3E6DDC0A" w14:textId="77777777" w:rsidR="00CC72E2" w:rsidRPr="00936B48" w:rsidRDefault="00CC72E2" w:rsidP="007131DE">
      <w:pPr>
        <w:jc w:val="both"/>
        <w:rPr>
          <w:b/>
          <w:bCs/>
          <w:lang w:val="fr-CH"/>
        </w:rPr>
      </w:pPr>
    </w:p>
    <w:p w14:paraId="53924C21" w14:textId="77777777" w:rsidR="00CC72E2" w:rsidRPr="00936B48" w:rsidRDefault="00CC72E2" w:rsidP="007131DE">
      <w:pPr>
        <w:jc w:val="both"/>
        <w:rPr>
          <w:b/>
          <w:bCs/>
          <w:lang w:val="fr-CH"/>
        </w:rPr>
      </w:pPr>
    </w:p>
    <w:p w14:paraId="6A9CFA97" w14:textId="77777777" w:rsidR="00CC72E2" w:rsidRPr="00936B48" w:rsidRDefault="00CC72E2" w:rsidP="00CC72E2">
      <w:pPr>
        <w:spacing w:after="0" w:line="240" w:lineRule="auto"/>
        <w:jc w:val="both"/>
        <w:rPr>
          <w:b/>
          <w:bCs/>
          <w:lang w:val="fr-CH"/>
        </w:rPr>
      </w:pPr>
    </w:p>
    <w:p w14:paraId="587BC42D" w14:textId="011A5E9F" w:rsidR="00EE173B" w:rsidRPr="00936B48" w:rsidRDefault="009165ED" w:rsidP="007131DE">
      <w:pPr>
        <w:jc w:val="both"/>
        <w:rPr>
          <w:b/>
          <w:bCs/>
          <w:lang w:val="fr-CH"/>
        </w:rPr>
      </w:pPr>
      <w:r w:rsidRPr="009165ED">
        <w:rPr>
          <w:b/>
          <w:bCs/>
          <w:noProof/>
          <w:sz w:val="16"/>
          <w:szCs w:val="16"/>
          <w:lang w:val="fr-CH"/>
        </w:rPr>
        <w:drawing>
          <wp:anchor distT="0" distB="0" distL="114300" distR="114300" simplePos="0" relativeHeight="251666432" behindDoc="1" locked="0" layoutInCell="1" allowOverlap="1" wp14:anchorId="2BEA8C43" wp14:editId="3C982B9B">
            <wp:simplePos x="0" y="0"/>
            <wp:positionH relativeFrom="column">
              <wp:posOffset>-3175</wp:posOffset>
            </wp:positionH>
            <wp:positionV relativeFrom="paragraph">
              <wp:posOffset>242824</wp:posOffset>
            </wp:positionV>
            <wp:extent cx="6408420" cy="1864995"/>
            <wp:effectExtent l="0" t="0" r="0" b="1905"/>
            <wp:wrapTight wrapText="bothSides">
              <wp:wrapPolygon edited="0">
                <wp:start x="0" y="0"/>
                <wp:lineTo x="0" y="21401"/>
                <wp:lineTo x="21510" y="21401"/>
                <wp:lineTo x="21510" y="0"/>
                <wp:lineTo x="0" y="0"/>
              </wp:wrapPolygon>
            </wp:wrapTight>
            <wp:docPr id="1216949887"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49887" name="Grafik 1" descr="Ein Bild, das Text, Screenshot, Schrift, Reihe enthält.&#10;&#10;Automatisch generierte Beschreibung"/>
                    <pic:cNvPicPr/>
                  </pic:nvPicPr>
                  <pic:blipFill rotWithShape="1">
                    <a:blip r:embed="rId12">
                      <a:extLst>
                        <a:ext uri="{28A0092B-C50C-407E-A947-70E740481C1C}">
                          <a14:useLocalDpi xmlns:a14="http://schemas.microsoft.com/office/drawing/2010/main" val="0"/>
                        </a:ext>
                      </a:extLst>
                    </a:blip>
                    <a:srcRect t="2509"/>
                    <a:stretch/>
                  </pic:blipFill>
                  <pic:spPr bwMode="auto">
                    <a:xfrm>
                      <a:off x="0" y="0"/>
                      <a:ext cx="6408420" cy="18649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C72E2" w:rsidRPr="00936B48">
        <w:rPr>
          <w:b/>
          <w:bCs/>
          <w:lang w:val="fr-CH"/>
        </w:rPr>
        <w:t>Exemple d'importation en provenance de l'UE</w:t>
      </w:r>
    </w:p>
    <w:p w14:paraId="32B9007D" w14:textId="2D611975" w:rsidR="00A91308" w:rsidRPr="00A91308" w:rsidRDefault="00A91308" w:rsidP="007131DE">
      <w:pPr>
        <w:spacing w:after="0" w:line="240" w:lineRule="auto"/>
        <w:contextualSpacing/>
        <w:jc w:val="both"/>
        <w:rPr>
          <w:b/>
          <w:bCs/>
          <w:sz w:val="16"/>
          <w:szCs w:val="16"/>
          <w:lang w:val="fr-CH"/>
        </w:rPr>
      </w:pPr>
    </w:p>
    <w:p w14:paraId="358C22AA" w14:textId="77777777" w:rsidR="009165ED" w:rsidRPr="009165ED" w:rsidRDefault="009165ED" w:rsidP="007131DE">
      <w:pPr>
        <w:spacing w:after="0" w:line="240" w:lineRule="auto"/>
        <w:contextualSpacing/>
        <w:jc w:val="both"/>
        <w:rPr>
          <w:b/>
          <w:bCs/>
          <w:sz w:val="16"/>
          <w:szCs w:val="16"/>
          <w:lang w:val="fr-CH"/>
        </w:rPr>
      </w:pPr>
    </w:p>
    <w:p w14:paraId="670069F9" w14:textId="38F1F68C" w:rsidR="000535D5" w:rsidRPr="00936B48" w:rsidRDefault="00D7088B" w:rsidP="007131DE">
      <w:pPr>
        <w:spacing w:after="0" w:line="240" w:lineRule="auto"/>
        <w:contextualSpacing/>
        <w:jc w:val="both"/>
        <w:rPr>
          <w:b/>
          <w:bCs/>
          <w:lang w:val="fr-CH"/>
        </w:rPr>
      </w:pPr>
      <w:r>
        <w:rPr>
          <w:b/>
          <w:bCs/>
          <w:sz w:val="24"/>
          <w:szCs w:val="24"/>
          <w:lang w:val="fr-CH"/>
        </w:rPr>
        <w:t xml:space="preserve">Conséquences </w:t>
      </w:r>
      <w:r w:rsidR="00EE173B" w:rsidRPr="00936B48">
        <w:rPr>
          <w:b/>
          <w:bCs/>
          <w:sz w:val="24"/>
          <w:szCs w:val="24"/>
          <w:lang w:val="fr-CH"/>
        </w:rPr>
        <w:t>sur la demande d'un certificat d'origine</w:t>
      </w:r>
    </w:p>
    <w:p w14:paraId="2F5C51F2" w14:textId="623088F8" w:rsidR="00CC72E2" w:rsidRPr="00936B48" w:rsidRDefault="000535D5" w:rsidP="00CC72E2">
      <w:pPr>
        <w:spacing w:after="0" w:line="240" w:lineRule="auto"/>
        <w:contextualSpacing/>
        <w:jc w:val="both"/>
        <w:rPr>
          <w:lang w:val="fr-CH"/>
        </w:rPr>
      </w:pPr>
      <w:r w:rsidRPr="00936B48">
        <w:rPr>
          <w:lang w:val="fr-CH"/>
        </w:rPr>
        <w:t>Les règles d'origine non préférentielle sont fondées sur l'</w:t>
      </w:r>
      <w:r w:rsidR="00D7088B">
        <w:rPr>
          <w:lang w:val="fr-CH"/>
        </w:rPr>
        <w:t>O</w:t>
      </w:r>
      <w:r w:rsidRPr="00936B48">
        <w:rPr>
          <w:lang w:val="fr-CH"/>
        </w:rPr>
        <w:t>rdonnance sur l</w:t>
      </w:r>
      <w:r w:rsidR="00D7088B">
        <w:rPr>
          <w:lang w:val="fr-CH"/>
        </w:rPr>
        <w:t>’attestation</w:t>
      </w:r>
      <w:r w:rsidRPr="00936B48">
        <w:rPr>
          <w:lang w:val="fr-CH"/>
        </w:rPr>
        <w:t xml:space="preserve"> de l'origine non préférentielle des marchandises (</w:t>
      </w:r>
      <w:proofErr w:type="spellStart"/>
      <w:r w:rsidR="007B4973">
        <w:rPr>
          <w:lang w:val="fr-CH"/>
        </w:rPr>
        <w:t>OOr</w:t>
      </w:r>
      <w:proofErr w:type="spellEnd"/>
      <w:r w:rsidRPr="00936B48">
        <w:rPr>
          <w:lang w:val="fr-CH"/>
        </w:rPr>
        <w:t xml:space="preserve"> et </w:t>
      </w:r>
      <w:proofErr w:type="spellStart"/>
      <w:r w:rsidR="007B4973">
        <w:rPr>
          <w:lang w:val="fr-CH"/>
        </w:rPr>
        <w:t>OOr</w:t>
      </w:r>
      <w:proofErr w:type="spellEnd"/>
      <w:r w:rsidR="007B4973">
        <w:rPr>
          <w:lang w:val="fr-CH"/>
        </w:rPr>
        <w:t>-DEFR</w:t>
      </w:r>
      <w:r w:rsidRPr="00936B48">
        <w:rPr>
          <w:lang w:val="fr-CH"/>
        </w:rPr>
        <w:t>). L'origine étrangère d'un</w:t>
      </w:r>
      <w:r w:rsidR="00D7088B">
        <w:rPr>
          <w:lang w:val="fr-CH"/>
        </w:rPr>
        <w:t>e marchandise</w:t>
      </w:r>
      <w:r w:rsidRPr="00936B48">
        <w:rPr>
          <w:lang w:val="fr-CH"/>
        </w:rPr>
        <w:t xml:space="preserve"> peut être prouvée soit par un certificat d'origine, soit par un</w:t>
      </w:r>
      <w:r w:rsidR="00D7088B">
        <w:rPr>
          <w:lang w:val="fr-CH"/>
        </w:rPr>
        <w:t>e attestation</w:t>
      </w:r>
      <w:r w:rsidRPr="00936B48">
        <w:rPr>
          <w:lang w:val="fr-CH"/>
        </w:rPr>
        <w:t xml:space="preserve"> équivalent</w:t>
      </w:r>
      <w:r w:rsidR="00D7088B">
        <w:rPr>
          <w:lang w:val="fr-CH"/>
        </w:rPr>
        <w:t>e</w:t>
      </w:r>
      <w:r w:rsidRPr="00936B48">
        <w:rPr>
          <w:lang w:val="fr-CH"/>
        </w:rPr>
        <w:t>. Les justificatifs d'origine préférentiel</w:t>
      </w:r>
      <w:r w:rsidR="007D0676">
        <w:rPr>
          <w:lang w:val="fr-CH"/>
        </w:rPr>
        <w:t>le</w:t>
      </w:r>
      <w:r w:rsidRPr="00936B48">
        <w:rPr>
          <w:lang w:val="fr-CH"/>
        </w:rPr>
        <w:t xml:space="preserve"> délivrés dans le cadre des accords de libre-échange entre la Suisse et l'AELE</w:t>
      </w:r>
      <w:r w:rsidR="00D7088B">
        <w:rPr>
          <w:lang w:val="fr-CH"/>
        </w:rPr>
        <w:t>,</w:t>
      </w:r>
      <w:r w:rsidRPr="00936B48">
        <w:rPr>
          <w:lang w:val="fr-CH"/>
        </w:rPr>
        <w:t xml:space="preserve"> ainsi que du </w:t>
      </w:r>
      <w:r w:rsidR="00D7088B" w:rsidRPr="00D7088B">
        <w:rPr>
          <w:lang w:val="fr-CH"/>
        </w:rPr>
        <w:t>Système généralisé de préférences (SGP)</w:t>
      </w:r>
      <w:r w:rsidRPr="00936B48">
        <w:rPr>
          <w:lang w:val="fr-CH"/>
        </w:rPr>
        <w:t xml:space="preserve"> sont également considérés comme des certificats équivalents. Si, en raison de la suppression des droits de douane sur les produits industriels, la délivrance d'une preuve d'origine préférentielle est levée lors du dédouanement à l'importation, cela peut signifier que l'exportateur en Suisse devra demander un certificat d'origine à son fournisseur à l'étranger. Cela coûte du temps </w:t>
      </w:r>
      <w:r w:rsidR="00644E13">
        <w:rPr>
          <w:lang w:val="fr-CH"/>
        </w:rPr>
        <w:t xml:space="preserve">précieux </w:t>
      </w:r>
      <w:r w:rsidRPr="00936B48">
        <w:rPr>
          <w:lang w:val="fr-CH"/>
        </w:rPr>
        <w:t>et de l'argent. L'expérience de la Chambre de commerce et d</w:t>
      </w:r>
      <w:r w:rsidR="00644E13">
        <w:rPr>
          <w:lang w:val="fr-CH"/>
        </w:rPr>
        <w:t>e l</w:t>
      </w:r>
      <w:r w:rsidRPr="00936B48">
        <w:rPr>
          <w:lang w:val="fr-CH"/>
        </w:rPr>
        <w:t xml:space="preserve">'industrie </w:t>
      </w:r>
      <w:r w:rsidR="00644E13" w:rsidRPr="00936B48">
        <w:rPr>
          <w:lang w:val="fr-CH"/>
        </w:rPr>
        <w:t xml:space="preserve">suisse </w:t>
      </w:r>
      <w:r w:rsidRPr="00936B48">
        <w:rPr>
          <w:lang w:val="fr-CH"/>
        </w:rPr>
        <w:t>montre également que certaines autorités à l'étranger ne délivrent plus de certificats d'origine a posteriori, ce qui signifie que les Chambres de commerce et d</w:t>
      </w:r>
      <w:r w:rsidR="00644E13">
        <w:rPr>
          <w:lang w:val="fr-CH"/>
        </w:rPr>
        <w:t>e l</w:t>
      </w:r>
      <w:r w:rsidRPr="00936B48">
        <w:rPr>
          <w:lang w:val="fr-CH"/>
        </w:rPr>
        <w:t>'industrie suisses ne peuvent pas délivrer de certificats d'origine en raison de l'absence de preuve de l'origine.</w:t>
      </w:r>
    </w:p>
    <w:p w14:paraId="0AA97608" w14:textId="77777777" w:rsidR="00CC72E2" w:rsidRPr="00A91308" w:rsidRDefault="00CC72E2" w:rsidP="00CC72E2">
      <w:pPr>
        <w:spacing w:after="0" w:line="240" w:lineRule="auto"/>
        <w:contextualSpacing/>
        <w:jc w:val="both"/>
        <w:rPr>
          <w:b/>
          <w:bCs/>
          <w:sz w:val="16"/>
          <w:szCs w:val="16"/>
          <w:lang w:val="fr-CH"/>
        </w:rPr>
      </w:pPr>
    </w:p>
    <w:p w14:paraId="11AD6DF6" w14:textId="77777777" w:rsidR="00A91308" w:rsidRPr="00A91308" w:rsidRDefault="00A91308" w:rsidP="00CC72E2">
      <w:pPr>
        <w:spacing w:after="0" w:line="240" w:lineRule="auto"/>
        <w:contextualSpacing/>
        <w:jc w:val="both"/>
        <w:rPr>
          <w:b/>
          <w:bCs/>
          <w:sz w:val="16"/>
          <w:szCs w:val="16"/>
          <w:lang w:val="fr-CH"/>
        </w:rPr>
      </w:pPr>
    </w:p>
    <w:p w14:paraId="75CE7DA9" w14:textId="6BC0583E" w:rsidR="007C19B5" w:rsidRDefault="009165ED" w:rsidP="007131DE">
      <w:pPr>
        <w:jc w:val="both"/>
        <w:rPr>
          <w:b/>
          <w:bCs/>
          <w:lang w:val="fr-CH"/>
        </w:rPr>
      </w:pPr>
      <w:r w:rsidRPr="009165ED">
        <w:rPr>
          <w:b/>
          <w:bCs/>
          <w:noProof/>
          <w:lang w:val="fr-CH"/>
        </w:rPr>
        <w:drawing>
          <wp:anchor distT="0" distB="0" distL="114300" distR="114300" simplePos="0" relativeHeight="251665408" behindDoc="1" locked="0" layoutInCell="1" allowOverlap="1" wp14:anchorId="4CFA2392" wp14:editId="6DE23307">
            <wp:simplePos x="0" y="0"/>
            <wp:positionH relativeFrom="column">
              <wp:posOffset>-3175</wp:posOffset>
            </wp:positionH>
            <wp:positionV relativeFrom="paragraph">
              <wp:posOffset>239014</wp:posOffset>
            </wp:positionV>
            <wp:extent cx="6408420" cy="1788160"/>
            <wp:effectExtent l="0" t="0" r="0" b="2540"/>
            <wp:wrapTight wrapText="bothSides">
              <wp:wrapPolygon edited="0">
                <wp:start x="0" y="0"/>
                <wp:lineTo x="0" y="21401"/>
                <wp:lineTo x="21510" y="21401"/>
                <wp:lineTo x="21510" y="0"/>
                <wp:lineTo x="0" y="0"/>
              </wp:wrapPolygon>
            </wp:wrapTight>
            <wp:docPr id="2025213162"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13162" name="Grafik 1" descr="Ein Bild, das Text, Screenshot, Schrift, Reihe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6408420" cy="1788160"/>
                    </a:xfrm>
                    <a:prstGeom prst="rect">
                      <a:avLst/>
                    </a:prstGeom>
                  </pic:spPr>
                </pic:pic>
              </a:graphicData>
            </a:graphic>
          </wp:anchor>
        </w:drawing>
      </w:r>
      <w:r w:rsidR="00AF556A" w:rsidRPr="00936B48">
        <w:rPr>
          <w:b/>
          <w:bCs/>
          <w:lang w:val="fr-CH"/>
        </w:rPr>
        <w:t>Exemple d'</w:t>
      </w:r>
      <w:r w:rsidRPr="009165ED">
        <w:rPr>
          <w:noProof/>
          <w:lang w:val="fr-CH"/>
        </w:rPr>
        <w:t xml:space="preserve"> </w:t>
      </w:r>
      <w:r w:rsidR="00AF556A" w:rsidRPr="00936B48">
        <w:rPr>
          <w:b/>
          <w:bCs/>
          <w:lang w:val="fr-CH"/>
        </w:rPr>
        <w:t>importation en provenance de Chine (</w:t>
      </w:r>
      <w:r w:rsidR="00F376D0">
        <w:rPr>
          <w:b/>
          <w:bCs/>
          <w:lang w:val="fr-CH"/>
        </w:rPr>
        <w:t>ALE</w:t>
      </w:r>
      <w:r w:rsidR="00AF556A" w:rsidRPr="00936B48">
        <w:rPr>
          <w:b/>
          <w:bCs/>
          <w:lang w:val="fr-CH"/>
        </w:rPr>
        <w:t xml:space="preserve"> CH-CN)</w:t>
      </w:r>
    </w:p>
    <w:p w14:paraId="6AEB8122" w14:textId="77777777" w:rsidR="009165ED" w:rsidRPr="009165ED" w:rsidRDefault="009165ED" w:rsidP="009165ED">
      <w:pPr>
        <w:spacing w:after="0" w:line="240" w:lineRule="auto"/>
        <w:jc w:val="both"/>
        <w:rPr>
          <w:b/>
          <w:bCs/>
          <w:sz w:val="12"/>
          <w:szCs w:val="12"/>
          <w:lang w:val="fr-CH"/>
        </w:rPr>
      </w:pPr>
    </w:p>
    <w:p w14:paraId="4F95AA8C" w14:textId="77777777" w:rsidR="009165ED" w:rsidRDefault="009165ED" w:rsidP="009165ED">
      <w:pPr>
        <w:spacing w:after="0" w:line="240" w:lineRule="auto"/>
        <w:jc w:val="both"/>
        <w:rPr>
          <w:b/>
          <w:bCs/>
          <w:sz w:val="12"/>
          <w:szCs w:val="12"/>
          <w:lang w:val="fr-CH"/>
        </w:rPr>
      </w:pPr>
    </w:p>
    <w:p w14:paraId="1F24AED7" w14:textId="77777777" w:rsidR="009165ED" w:rsidRPr="009165ED" w:rsidRDefault="009165ED" w:rsidP="009165ED">
      <w:pPr>
        <w:spacing w:after="0" w:line="240" w:lineRule="auto"/>
        <w:jc w:val="both"/>
        <w:rPr>
          <w:b/>
          <w:bCs/>
          <w:sz w:val="12"/>
          <w:szCs w:val="12"/>
          <w:lang w:val="fr-CH"/>
        </w:rPr>
      </w:pPr>
    </w:p>
    <w:p w14:paraId="25B63D7E" w14:textId="39297E55" w:rsidR="00A91308" w:rsidRDefault="009165ED" w:rsidP="00A91308">
      <w:pPr>
        <w:jc w:val="both"/>
        <w:rPr>
          <w:b/>
          <w:bCs/>
          <w:lang w:val="fr-CH"/>
        </w:rPr>
      </w:pPr>
      <w:r w:rsidRPr="009165ED">
        <w:rPr>
          <w:b/>
          <w:bCs/>
          <w:noProof/>
          <w:sz w:val="16"/>
          <w:szCs w:val="16"/>
          <w:lang w:val="fr-CH"/>
        </w:rPr>
        <w:drawing>
          <wp:anchor distT="0" distB="0" distL="114300" distR="114300" simplePos="0" relativeHeight="251667456" behindDoc="1" locked="0" layoutInCell="1" allowOverlap="1" wp14:anchorId="137B52B4" wp14:editId="36FEBB5A">
            <wp:simplePos x="0" y="0"/>
            <wp:positionH relativeFrom="column">
              <wp:posOffset>-2540</wp:posOffset>
            </wp:positionH>
            <wp:positionV relativeFrom="paragraph">
              <wp:posOffset>262509</wp:posOffset>
            </wp:positionV>
            <wp:extent cx="6408420" cy="1995805"/>
            <wp:effectExtent l="0" t="0" r="0" b="4445"/>
            <wp:wrapTight wrapText="bothSides">
              <wp:wrapPolygon edited="0">
                <wp:start x="0" y="0"/>
                <wp:lineTo x="0" y="21442"/>
                <wp:lineTo x="21510" y="21442"/>
                <wp:lineTo x="21510" y="0"/>
                <wp:lineTo x="0" y="0"/>
              </wp:wrapPolygon>
            </wp:wrapTight>
            <wp:docPr id="142804493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44932" name="Grafik 1" descr="Ein Bild, das Text, Screenshot, Schrift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6408420" cy="1995805"/>
                    </a:xfrm>
                    <a:prstGeom prst="rect">
                      <a:avLst/>
                    </a:prstGeom>
                  </pic:spPr>
                </pic:pic>
              </a:graphicData>
            </a:graphic>
          </wp:anchor>
        </w:drawing>
      </w:r>
      <w:r>
        <w:rPr>
          <w:b/>
          <w:bCs/>
          <w:lang w:val="fr-CH"/>
        </w:rPr>
        <w:t>E</w:t>
      </w:r>
      <w:r w:rsidR="00B14895" w:rsidRPr="00936B48">
        <w:rPr>
          <w:b/>
          <w:bCs/>
          <w:lang w:val="fr-CH"/>
        </w:rPr>
        <w:t xml:space="preserve">xemple d'importation </w:t>
      </w:r>
      <w:r w:rsidR="00F376D0" w:rsidRPr="00936B48">
        <w:rPr>
          <w:b/>
          <w:bCs/>
          <w:lang w:val="fr-CH"/>
        </w:rPr>
        <w:t xml:space="preserve">en provenance de </w:t>
      </w:r>
      <w:r w:rsidR="00B14895" w:rsidRPr="00936B48">
        <w:rPr>
          <w:b/>
          <w:bCs/>
          <w:lang w:val="fr-CH"/>
        </w:rPr>
        <w:t>l'Inde (</w:t>
      </w:r>
      <w:r w:rsidR="00F376D0">
        <w:rPr>
          <w:b/>
          <w:bCs/>
          <w:lang w:val="fr-CH"/>
        </w:rPr>
        <w:t>SGP</w:t>
      </w:r>
      <w:r w:rsidR="00B14895" w:rsidRPr="00936B48">
        <w:rPr>
          <w:b/>
          <w:bCs/>
          <w:lang w:val="fr-CH"/>
        </w:rPr>
        <w:t>)</w:t>
      </w:r>
    </w:p>
    <w:p w14:paraId="51EBB67A" w14:textId="22307C9E" w:rsidR="00A91308" w:rsidRPr="00244FB9" w:rsidRDefault="00A91308" w:rsidP="009165ED">
      <w:pPr>
        <w:spacing w:after="0" w:line="240" w:lineRule="auto"/>
        <w:contextualSpacing/>
        <w:jc w:val="both"/>
        <w:rPr>
          <w:b/>
          <w:bCs/>
          <w:lang w:val="fr-CH"/>
        </w:rPr>
      </w:pPr>
    </w:p>
    <w:p w14:paraId="39CF292C" w14:textId="6BD5F2EE" w:rsidR="00A91308" w:rsidRPr="00244FB9" w:rsidRDefault="00A91308" w:rsidP="009165ED">
      <w:pPr>
        <w:spacing w:after="0" w:line="240" w:lineRule="auto"/>
        <w:contextualSpacing/>
        <w:jc w:val="both"/>
        <w:rPr>
          <w:b/>
          <w:bCs/>
          <w:lang w:val="fr-CH"/>
        </w:rPr>
      </w:pPr>
    </w:p>
    <w:p w14:paraId="418F7B92" w14:textId="3B789CFF" w:rsidR="00A91308" w:rsidRPr="00244FB9" w:rsidRDefault="00A91308" w:rsidP="009165ED">
      <w:pPr>
        <w:spacing w:after="0" w:line="240" w:lineRule="auto"/>
        <w:contextualSpacing/>
        <w:jc w:val="both"/>
        <w:rPr>
          <w:b/>
          <w:bCs/>
          <w:lang w:val="fr-CH"/>
        </w:rPr>
      </w:pPr>
    </w:p>
    <w:p w14:paraId="4D3D331F" w14:textId="371B1D70" w:rsidR="00A91308" w:rsidRPr="00244FB9" w:rsidRDefault="00A91308" w:rsidP="009165ED">
      <w:pPr>
        <w:spacing w:after="0" w:line="240" w:lineRule="auto"/>
        <w:contextualSpacing/>
        <w:jc w:val="both"/>
        <w:rPr>
          <w:b/>
          <w:bCs/>
          <w:lang w:val="fr-CH"/>
        </w:rPr>
      </w:pPr>
    </w:p>
    <w:p w14:paraId="774130D7" w14:textId="67EC6181" w:rsidR="00B14895" w:rsidRPr="00936B48" w:rsidRDefault="00B14895" w:rsidP="007131DE">
      <w:pPr>
        <w:spacing w:after="0" w:line="240" w:lineRule="auto"/>
        <w:contextualSpacing/>
        <w:jc w:val="both"/>
        <w:rPr>
          <w:lang w:val="fr-CH"/>
        </w:rPr>
      </w:pPr>
      <w:r w:rsidRPr="00936B48">
        <w:rPr>
          <w:b/>
          <w:bCs/>
          <w:lang w:val="fr-CH"/>
        </w:rPr>
        <w:t>NOTE</w:t>
      </w:r>
    </w:p>
    <w:p w14:paraId="56844AEE" w14:textId="547FB562" w:rsidR="007C19B5" w:rsidRPr="00936B48" w:rsidRDefault="00B14895" w:rsidP="00CC72E2">
      <w:pPr>
        <w:spacing w:after="0" w:line="240" w:lineRule="auto"/>
        <w:contextualSpacing/>
        <w:jc w:val="both"/>
        <w:rPr>
          <w:lang w:val="fr-CH"/>
        </w:rPr>
      </w:pPr>
      <w:r w:rsidRPr="00936B48">
        <w:rPr>
          <w:lang w:val="fr-CH"/>
        </w:rPr>
        <w:t xml:space="preserve">Les Chambres de commerce suisses vous </w:t>
      </w:r>
      <w:r w:rsidR="00F376D0">
        <w:rPr>
          <w:lang w:val="fr-CH"/>
        </w:rPr>
        <w:t>prient</w:t>
      </w:r>
      <w:r w:rsidRPr="00936B48">
        <w:rPr>
          <w:lang w:val="fr-CH"/>
        </w:rPr>
        <w:t xml:space="preserve"> de bien réfléchir à la question de savoir s'il est possible de renoncer à une preuve d'origine préférentielle lors de l'importation. Selon les cas, la dérogation à cette règle peut signifier qu'un dédouanement préférentiel ou un cumul ou l</w:t>
      </w:r>
      <w:r w:rsidR="00F376D0">
        <w:rPr>
          <w:lang w:val="fr-CH"/>
        </w:rPr>
        <w:t xml:space="preserve">’établissement </w:t>
      </w:r>
      <w:r w:rsidRPr="00936B48">
        <w:rPr>
          <w:lang w:val="fr-CH"/>
        </w:rPr>
        <w:t>d'un certificat d'origine ne sont plus possibles en cas de réexportation. Sur la base de l'expérience d</w:t>
      </w:r>
      <w:r w:rsidR="00F376D0">
        <w:rPr>
          <w:lang w:val="fr-CH"/>
        </w:rPr>
        <w:t xml:space="preserve">e la </w:t>
      </w:r>
      <w:r w:rsidR="00F376D0" w:rsidRPr="00F376D0">
        <w:rPr>
          <w:lang w:val="fr-CH"/>
        </w:rPr>
        <w:t>CCIS</w:t>
      </w:r>
      <w:r w:rsidR="007D0676">
        <w:rPr>
          <w:lang w:val="fr-CH"/>
        </w:rPr>
        <w:t>,</w:t>
      </w:r>
      <w:r w:rsidRPr="00936B48">
        <w:rPr>
          <w:lang w:val="fr-CH"/>
        </w:rPr>
        <w:t xml:space="preserve"> et afin de réduire au maximum les efforts administratifs, nous vous recommandons donc de travailler avec les fournisseurs étrangers pour vous assurer qu'ils continuent à délivrer des preuves d'origine préférentielle malgré l'exonération des droits de douane. Les prestataires de services de dédouanement doivent recevoir l'instruction de ne pas se passer de la preuve dans les cas où une </w:t>
      </w:r>
      <w:r w:rsidR="00F376D0">
        <w:rPr>
          <w:lang w:val="fr-CH"/>
        </w:rPr>
        <w:t>taxation</w:t>
      </w:r>
      <w:r w:rsidRPr="00936B48">
        <w:rPr>
          <w:lang w:val="fr-CH"/>
        </w:rPr>
        <w:t xml:space="preserve"> préférentielle peut être nécessaire pour la réexportation.  </w:t>
      </w:r>
    </w:p>
    <w:p w14:paraId="6B580979" w14:textId="77777777" w:rsidR="00CC72E2" w:rsidRPr="00936B48" w:rsidRDefault="00CC72E2" w:rsidP="00CC72E2">
      <w:pPr>
        <w:spacing w:after="0" w:line="240" w:lineRule="auto"/>
        <w:contextualSpacing/>
        <w:jc w:val="both"/>
        <w:rPr>
          <w:lang w:val="fr-CH"/>
        </w:rPr>
      </w:pPr>
    </w:p>
    <w:p w14:paraId="24E9AAB3" w14:textId="45FFF129" w:rsidR="001E2572" w:rsidRPr="00936B48" w:rsidRDefault="00B41B5A" w:rsidP="007131DE">
      <w:pPr>
        <w:jc w:val="both"/>
        <w:rPr>
          <w:lang w:val="fr-CH"/>
        </w:rPr>
      </w:pPr>
      <w:r w:rsidRPr="00936B48">
        <w:rPr>
          <w:lang w:val="fr-CH"/>
        </w:rPr>
        <w:t xml:space="preserve">Le tableau suivant vous donne un aperçu des cas dans lesquels il est possible de </w:t>
      </w:r>
      <w:r w:rsidR="00F376D0">
        <w:rPr>
          <w:lang w:val="fr-CH"/>
        </w:rPr>
        <w:t>renoncer à</w:t>
      </w:r>
      <w:r w:rsidRPr="00936B48">
        <w:rPr>
          <w:lang w:val="fr-CH"/>
        </w:rPr>
        <w:t xml:space="preserve"> une preuve d'origine préférentielle ou </w:t>
      </w:r>
      <w:r w:rsidR="00F376D0">
        <w:rPr>
          <w:lang w:val="fr-CH"/>
        </w:rPr>
        <w:t>dans lesquels</w:t>
      </w:r>
      <w:r w:rsidRPr="00936B48">
        <w:rPr>
          <w:lang w:val="fr-CH"/>
        </w:rPr>
        <w:t xml:space="preserve"> les preuves sont encore requises :</w:t>
      </w:r>
    </w:p>
    <w:p w14:paraId="2C7A45EF" w14:textId="164B7E60" w:rsidR="0055454D" w:rsidRPr="00936B48" w:rsidRDefault="0055454D" w:rsidP="007131DE">
      <w:pPr>
        <w:spacing w:after="0" w:line="240" w:lineRule="auto"/>
        <w:contextualSpacing/>
        <w:jc w:val="both"/>
        <w:rPr>
          <w:lang w:val="fr-CH"/>
        </w:rPr>
      </w:pPr>
    </w:p>
    <w:tbl>
      <w:tblPr>
        <w:tblStyle w:val="Grilledutableau"/>
        <w:tblW w:w="0" w:type="auto"/>
        <w:tblLook w:val="04A0" w:firstRow="1" w:lastRow="0" w:firstColumn="1" w:lastColumn="0" w:noHBand="0" w:noVBand="1"/>
      </w:tblPr>
      <w:tblGrid>
        <w:gridCol w:w="6516"/>
        <w:gridCol w:w="3566"/>
      </w:tblGrid>
      <w:tr w:rsidR="001E2572" w:rsidRPr="00244FB9" w14:paraId="5369900E" w14:textId="77777777" w:rsidTr="001E2572">
        <w:tc>
          <w:tcPr>
            <w:tcW w:w="6516" w:type="dxa"/>
          </w:tcPr>
          <w:p w14:paraId="13CF5F6E" w14:textId="26DEE847" w:rsidR="001E2572" w:rsidRPr="00936B48" w:rsidRDefault="001E2572" w:rsidP="0057442B">
            <w:pPr>
              <w:rPr>
                <w:b/>
                <w:bCs/>
                <w:sz w:val="20"/>
                <w:szCs w:val="20"/>
                <w:lang w:val="fr-CH"/>
              </w:rPr>
            </w:pPr>
            <w:r w:rsidRPr="00936B48">
              <w:rPr>
                <w:b/>
                <w:bCs/>
                <w:sz w:val="20"/>
                <w:szCs w:val="20"/>
                <w:lang w:val="fr-CH"/>
              </w:rPr>
              <w:t>Objet de l'importation de produits industriels</w:t>
            </w:r>
          </w:p>
        </w:tc>
        <w:tc>
          <w:tcPr>
            <w:tcW w:w="3566" w:type="dxa"/>
          </w:tcPr>
          <w:p w14:paraId="158CBE34" w14:textId="5017D5B5" w:rsidR="001E2572" w:rsidRPr="00936B48" w:rsidRDefault="001E2572" w:rsidP="0057442B">
            <w:pPr>
              <w:rPr>
                <w:b/>
                <w:bCs/>
                <w:sz w:val="20"/>
                <w:szCs w:val="20"/>
                <w:lang w:val="fr-CH"/>
              </w:rPr>
            </w:pPr>
            <w:r w:rsidRPr="00936B48">
              <w:rPr>
                <w:b/>
                <w:bCs/>
                <w:sz w:val="20"/>
                <w:szCs w:val="20"/>
                <w:lang w:val="fr-CH"/>
              </w:rPr>
              <w:t xml:space="preserve">Preuve d'origine préférentielle à l'importation, </w:t>
            </w:r>
            <w:r w:rsidR="00F74133">
              <w:rPr>
                <w:b/>
                <w:bCs/>
                <w:sz w:val="20"/>
                <w:szCs w:val="20"/>
                <w:lang w:val="fr-CH"/>
              </w:rPr>
              <w:t>respectivement une</w:t>
            </w:r>
            <w:r w:rsidRPr="00936B48">
              <w:rPr>
                <w:b/>
                <w:bCs/>
                <w:sz w:val="20"/>
                <w:szCs w:val="20"/>
                <w:lang w:val="fr-CH"/>
              </w:rPr>
              <w:t xml:space="preserve"> preuve d'origine valide nécessaire ?</w:t>
            </w:r>
          </w:p>
        </w:tc>
      </w:tr>
      <w:tr w:rsidR="001E2572" w:rsidRPr="001E2572" w14:paraId="07754D70" w14:textId="77777777" w:rsidTr="0055454D">
        <w:tc>
          <w:tcPr>
            <w:tcW w:w="6516" w:type="dxa"/>
          </w:tcPr>
          <w:p w14:paraId="299983F8" w14:textId="1A1D2837" w:rsidR="00F74133" w:rsidRPr="00F74133" w:rsidRDefault="00F74133" w:rsidP="0057442B">
            <w:pPr>
              <w:rPr>
                <w:b/>
                <w:bCs/>
                <w:sz w:val="20"/>
                <w:szCs w:val="20"/>
                <w:lang w:val="fr-CH"/>
              </w:rPr>
            </w:pPr>
            <w:r w:rsidRPr="00F74133">
              <w:rPr>
                <w:b/>
                <w:bCs/>
                <w:sz w:val="20"/>
                <w:szCs w:val="20"/>
                <w:lang w:val="fr-CH"/>
              </w:rPr>
              <w:t>Destination finale en Suisse</w:t>
            </w:r>
          </w:p>
          <w:p w14:paraId="6AA12111" w14:textId="3DE8A6E8" w:rsidR="001E2572" w:rsidRPr="00F74133" w:rsidRDefault="00F74133" w:rsidP="0057442B">
            <w:pPr>
              <w:rPr>
                <w:sz w:val="20"/>
                <w:szCs w:val="20"/>
                <w:lang w:val="fr-CH"/>
              </w:rPr>
            </w:pPr>
            <w:r>
              <w:rPr>
                <w:sz w:val="20"/>
                <w:szCs w:val="20"/>
                <w:lang w:val="fr-CH"/>
              </w:rPr>
              <w:t>Des m</w:t>
            </w:r>
            <w:r w:rsidR="001E2572" w:rsidRPr="00F74133">
              <w:rPr>
                <w:sz w:val="20"/>
                <w:szCs w:val="20"/>
                <w:lang w:val="fr-CH"/>
              </w:rPr>
              <w:t>archandises</w:t>
            </w:r>
            <w:r>
              <w:rPr>
                <w:sz w:val="20"/>
                <w:szCs w:val="20"/>
                <w:lang w:val="fr-CH"/>
              </w:rPr>
              <w:t>, dont il est établi qu’</w:t>
            </w:r>
            <w:r w:rsidR="001E2572" w:rsidRPr="00F74133">
              <w:rPr>
                <w:sz w:val="20"/>
                <w:szCs w:val="20"/>
                <w:lang w:val="fr-CH"/>
              </w:rPr>
              <w:t>au moment de l'importation elles ne seront plus exportées de Suisse (p. ex. produits de consommation).</w:t>
            </w:r>
          </w:p>
        </w:tc>
        <w:tc>
          <w:tcPr>
            <w:tcW w:w="3566" w:type="dxa"/>
            <w:vAlign w:val="center"/>
          </w:tcPr>
          <w:p w14:paraId="427E6F01" w14:textId="4F08545B" w:rsidR="001E2572" w:rsidRPr="001E2572" w:rsidRDefault="001E2572" w:rsidP="0057442B">
            <w:pPr>
              <w:rPr>
                <w:sz w:val="20"/>
                <w:szCs w:val="20"/>
              </w:rPr>
            </w:pPr>
            <w:r w:rsidRPr="001E2572">
              <w:rPr>
                <w:sz w:val="20"/>
                <w:szCs w:val="20"/>
              </w:rPr>
              <w:t>Non</w:t>
            </w:r>
          </w:p>
        </w:tc>
      </w:tr>
      <w:tr w:rsidR="001E2572" w:rsidRPr="001E2572" w14:paraId="701A7FC6" w14:textId="77777777" w:rsidTr="0055454D">
        <w:tc>
          <w:tcPr>
            <w:tcW w:w="6516" w:type="dxa"/>
          </w:tcPr>
          <w:p w14:paraId="50F03722" w14:textId="710C1ABB" w:rsidR="00F74133" w:rsidRDefault="001E2572" w:rsidP="0057442B">
            <w:pPr>
              <w:rPr>
                <w:b/>
                <w:bCs/>
                <w:sz w:val="20"/>
                <w:szCs w:val="20"/>
                <w:lang w:val="fr-CH"/>
              </w:rPr>
            </w:pPr>
            <w:r w:rsidRPr="00936B48">
              <w:rPr>
                <w:b/>
                <w:bCs/>
                <w:sz w:val="20"/>
                <w:szCs w:val="20"/>
                <w:lang w:val="fr-CH"/>
              </w:rPr>
              <w:t>Tra</w:t>
            </w:r>
            <w:r w:rsidR="00F74133">
              <w:rPr>
                <w:b/>
                <w:bCs/>
                <w:sz w:val="20"/>
                <w:szCs w:val="20"/>
                <w:lang w:val="fr-CH"/>
              </w:rPr>
              <w:t>itement</w:t>
            </w:r>
            <w:r w:rsidRPr="00936B48">
              <w:rPr>
                <w:b/>
                <w:bCs/>
                <w:sz w:val="20"/>
                <w:szCs w:val="20"/>
                <w:lang w:val="fr-CH"/>
              </w:rPr>
              <w:t xml:space="preserve"> et réexportation sans traitement tarifaire préférentiel</w:t>
            </w:r>
          </w:p>
          <w:p w14:paraId="1EB95C16" w14:textId="40224EA8" w:rsidR="001E2572" w:rsidRPr="00936B48" w:rsidRDefault="001E2572" w:rsidP="0057442B">
            <w:pPr>
              <w:rPr>
                <w:sz w:val="20"/>
                <w:szCs w:val="20"/>
                <w:lang w:val="fr-CH"/>
              </w:rPr>
            </w:pPr>
            <w:r w:rsidRPr="00F74133">
              <w:rPr>
                <w:sz w:val="20"/>
                <w:szCs w:val="20"/>
                <w:lang w:val="fr-CH"/>
              </w:rPr>
              <w:t>Importation</w:t>
            </w:r>
            <w:r w:rsidR="007E27FB" w:rsidRPr="00F74133">
              <w:rPr>
                <w:sz w:val="20"/>
                <w:szCs w:val="20"/>
                <w:lang w:val="fr-CH"/>
              </w:rPr>
              <w:t xml:space="preserve"> de marchandises qui sont transformées en Suisse et exportées </w:t>
            </w:r>
            <w:r w:rsidR="007E27FB" w:rsidRPr="00936B48">
              <w:rPr>
                <w:sz w:val="20"/>
                <w:szCs w:val="20"/>
                <w:lang w:val="fr-CH"/>
              </w:rPr>
              <w:t>vers des pays avec lesquels il n'existe pas d'ALE ou vers des pays avec lesquels il existe des ALE</w:t>
            </w:r>
            <w:r w:rsidR="007D0676">
              <w:rPr>
                <w:sz w:val="20"/>
                <w:szCs w:val="20"/>
                <w:lang w:val="fr-CH"/>
              </w:rPr>
              <w:t>,</w:t>
            </w:r>
            <w:r w:rsidR="007E27FB" w:rsidRPr="00936B48">
              <w:rPr>
                <w:sz w:val="20"/>
                <w:szCs w:val="20"/>
                <w:lang w:val="fr-CH"/>
              </w:rPr>
              <w:t xml:space="preserve"> mais qui ne bénéficieront pas d'un traitement préférentiel.</w:t>
            </w:r>
          </w:p>
        </w:tc>
        <w:tc>
          <w:tcPr>
            <w:tcW w:w="3566" w:type="dxa"/>
            <w:vAlign w:val="center"/>
          </w:tcPr>
          <w:p w14:paraId="480E853E" w14:textId="6B2659B7" w:rsidR="001E2572" w:rsidRPr="001E2572" w:rsidRDefault="001E2572" w:rsidP="0057442B">
            <w:pPr>
              <w:rPr>
                <w:sz w:val="20"/>
                <w:szCs w:val="20"/>
              </w:rPr>
            </w:pPr>
            <w:r w:rsidRPr="001E2572">
              <w:rPr>
                <w:sz w:val="20"/>
                <w:szCs w:val="20"/>
              </w:rPr>
              <w:t>Non</w:t>
            </w:r>
          </w:p>
        </w:tc>
      </w:tr>
      <w:tr w:rsidR="001E2572" w:rsidRPr="001E2572" w14:paraId="53F9DE7D" w14:textId="77777777" w:rsidTr="0055454D">
        <w:tc>
          <w:tcPr>
            <w:tcW w:w="6516" w:type="dxa"/>
          </w:tcPr>
          <w:p w14:paraId="0A36B168" w14:textId="6EEC7AD1" w:rsidR="00F74133" w:rsidRDefault="001E2572" w:rsidP="0057442B">
            <w:pPr>
              <w:rPr>
                <w:b/>
                <w:bCs/>
                <w:sz w:val="20"/>
                <w:szCs w:val="20"/>
                <w:lang w:val="fr-CH"/>
              </w:rPr>
            </w:pPr>
            <w:r w:rsidRPr="00936B48">
              <w:rPr>
                <w:b/>
                <w:bCs/>
                <w:sz w:val="20"/>
                <w:szCs w:val="20"/>
                <w:lang w:val="fr-CH"/>
              </w:rPr>
              <w:t xml:space="preserve">Réexportation inchangée sans </w:t>
            </w:r>
            <w:r w:rsidR="00F74133">
              <w:rPr>
                <w:b/>
                <w:bCs/>
                <w:sz w:val="20"/>
                <w:szCs w:val="20"/>
                <w:lang w:val="fr-CH"/>
              </w:rPr>
              <w:t>formalités</w:t>
            </w:r>
            <w:r w:rsidRPr="00936B48">
              <w:rPr>
                <w:b/>
                <w:bCs/>
                <w:sz w:val="20"/>
                <w:szCs w:val="20"/>
                <w:lang w:val="fr-CH"/>
              </w:rPr>
              <w:t xml:space="preserve"> tarifaire préférentiel</w:t>
            </w:r>
            <w:r w:rsidR="00F74133">
              <w:rPr>
                <w:b/>
                <w:bCs/>
                <w:sz w:val="20"/>
                <w:szCs w:val="20"/>
                <w:lang w:val="fr-CH"/>
              </w:rPr>
              <w:t>les</w:t>
            </w:r>
          </w:p>
          <w:p w14:paraId="68C3CE15" w14:textId="5718895B" w:rsidR="001E2572" w:rsidRPr="00F74133" w:rsidRDefault="001E2572" w:rsidP="0057442B">
            <w:pPr>
              <w:rPr>
                <w:sz w:val="20"/>
                <w:szCs w:val="20"/>
                <w:lang w:val="fr-CH"/>
              </w:rPr>
            </w:pPr>
            <w:r w:rsidRPr="00F74133">
              <w:rPr>
                <w:sz w:val="20"/>
                <w:szCs w:val="20"/>
                <w:lang w:val="fr-CH"/>
              </w:rPr>
              <w:t>L'importation de marchandises destinées à être exportées sans modification vers des pays avec lesquels il n'existe pas d'ALE</w:t>
            </w:r>
            <w:r w:rsidR="00A34B76">
              <w:rPr>
                <w:sz w:val="20"/>
                <w:szCs w:val="20"/>
                <w:lang w:val="fr-CH"/>
              </w:rPr>
              <w:t>,</w:t>
            </w:r>
            <w:r w:rsidRPr="00F74133">
              <w:rPr>
                <w:sz w:val="20"/>
                <w:szCs w:val="20"/>
                <w:lang w:val="fr-CH"/>
              </w:rPr>
              <w:t xml:space="preserve"> ou vers des pays avec lesquels il existe des ALE</w:t>
            </w:r>
            <w:r w:rsidR="00F74133">
              <w:rPr>
                <w:sz w:val="20"/>
                <w:szCs w:val="20"/>
                <w:lang w:val="fr-CH"/>
              </w:rPr>
              <w:t>,</w:t>
            </w:r>
            <w:r w:rsidRPr="00F74133">
              <w:rPr>
                <w:sz w:val="20"/>
                <w:szCs w:val="20"/>
                <w:lang w:val="fr-CH"/>
              </w:rPr>
              <w:t xml:space="preserve"> mais qui ne doivent pas bénéficier d'un traitement préférentiel et </w:t>
            </w:r>
            <w:r w:rsidR="00A34B76">
              <w:rPr>
                <w:sz w:val="20"/>
                <w:szCs w:val="20"/>
                <w:lang w:val="fr-CH"/>
              </w:rPr>
              <w:t xml:space="preserve">où </w:t>
            </w:r>
            <w:r w:rsidRPr="00F74133">
              <w:rPr>
                <w:sz w:val="20"/>
                <w:szCs w:val="20"/>
                <w:lang w:val="fr-CH"/>
              </w:rPr>
              <w:t>aucune preuve préférentielle de l'origine</w:t>
            </w:r>
            <w:r w:rsidR="00F74133">
              <w:rPr>
                <w:sz w:val="20"/>
                <w:szCs w:val="20"/>
                <w:lang w:val="fr-CH"/>
              </w:rPr>
              <w:t>,</w:t>
            </w:r>
            <w:r w:rsidRPr="00F74133">
              <w:rPr>
                <w:sz w:val="20"/>
                <w:szCs w:val="20"/>
                <w:lang w:val="fr-CH"/>
              </w:rPr>
              <w:t xml:space="preserve"> ne doit être utilisée comme base pour une preuve de l'origine non préférentielle.</w:t>
            </w:r>
          </w:p>
        </w:tc>
        <w:tc>
          <w:tcPr>
            <w:tcW w:w="3566" w:type="dxa"/>
            <w:vAlign w:val="center"/>
          </w:tcPr>
          <w:p w14:paraId="3AC5DE9C" w14:textId="2C50DDAD" w:rsidR="001E2572" w:rsidRPr="001E2572" w:rsidRDefault="001E2572" w:rsidP="0057442B">
            <w:pPr>
              <w:rPr>
                <w:sz w:val="20"/>
                <w:szCs w:val="20"/>
              </w:rPr>
            </w:pPr>
            <w:r w:rsidRPr="001E2572">
              <w:rPr>
                <w:sz w:val="20"/>
                <w:szCs w:val="20"/>
              </w:rPr>
              <w:t>Non</w:t>
            </w:r>
          </w:p>
        </w:tc>
      </w:tr>
      <w:tr w:rsidR="001E2572" w:rsidRPr="001E2572" w14:paraId="00BE6F04" w14:textId="77777777" w:rsidTr="0055454D">
        <w:tc>
          <w:tcPr>
            <w:tcW w:w="6516" w:type="dxa"/>
          </w:tcPr>
          <w:p w14:paraId="1AB78053" w14:textId="7309C551" w:rsidR="00F74133" w:rsidRDefault="00F74133" w:rsidP="0057442B">
            <w:pPr>
              <w:rPr>
                <w:b/>
                <w:bCs/>
                <w:sz w:val="20"/>
                <w:szCs w:val="20"/>
                <w:lang w:val="fr-CH"/>
              </w:rPr>
            </w:pPr>
            <w:r w:rsidRPr="00936B48">
              <w:rPr>
                <w:b/>
                <w:bCs/>
                <w:sz w:val="20"/>
                <w:szCs w:val="20"/>
                <w:lang w:val="fr-CH"/>
              </w:rPr>
              <w:t>Tra</w:t>
            </w:r>
            <w:r>
              <w:rPr>
                <w:b/>
                <w:bCs/>
                <w:sz w:val="20"/>
                <w:szCs w:val="20"/>
                <w:lang w:val="fr-CH"/>
              </w:rPr>
              <w:t>itement</w:t>
            </w:r>
            <w:r w:rsidRPr="00936B48">
              <w:rPr>
                <w:b/>
                <w:bCs/>
                <w:sz w:val="20"/>
                <w:szCs w:val="20"/>
                <w:lang w:val="fr-CH"/>
              </w:rPr>
              <w:t xml:space="preserve"> </w:t>
            </w:r>
            <w:r w:rsidR="001E2572" w:rsidRPr="00936B48">
              <w:rPr>
                <w:b/>
                <w:bCs/>
                <w:sz w:val="20"/>
                <w:szCs w:val="20"/>
                <w:lang w:val="fr-CH"/>
              </w:rPr>
              <w:t xml:space="preserve">suffisant et réexportation </w:t>
            </w:r>
            <w:r>
              <w:rPr>
                <w:b/>
                <w:bCs/>
                <w:sz w:val="20"/>
                <w:szCs w:val="20"/>
                <w:lang w:val="fr-CH"/>
              </w:rPr>
              <w:t xml:space="preserve">avec </w:t>
            </w:r>
            <w:r w:rsidR="001E2572" w:rsidRPr="00936B48">
              <w:rPr>
                <w:b/>
                <w:bCs/>
                <w:sz w:val="20"/>
                <w:szCs w:val="20"/>
                <w:lang w:val="fr-CH"/>
              </w:rPr>
              <w:t>origine suisse</w:t>
            </w:r>
          </w:p>
          <w:p w14:paraId="59E7C96E" w14:textId="3AD9C55D" w:rsidR="001E2572" w:rsidRPr="00F74133" w:rsidRDefault="00F74133" w:rsidP="0057442B">
            <w:pPr>
              <w:rPr>
                <w:sz w:val="20"/>
                <w:szCs w:val="20"/>
                <w:lang w:val="fr-CH"/>
              </w:rPr>
            </w:pPr>
            <w:r>
              <w:rPr>
                <w:sz w:val="20"/>
                <w:szCs w:val="20"/>
                <w:lang w:val="fr-CH"/>
              </w:rPr>
              <w:t>L’i</w:t>
            </w:r>
            <w:r w:rsidR="001E2572" w:rsidRPr="00F74133">
              <w:rPr>
                <w:sz w:val="20"/>
                <w:szCs w:val="20"/>
                <w:lang w:val="fr-CH"/>
              </w:rPr>
              <w:t xml:space="preserve">mportation de marchandises considérées comme suffisamment </w:t>
            </w:r>
            <w:r>
              <w:rPr>
                <w:sz w:val="20"/>
                <w:szCs w:val="20"/>
                <w:lang w:val="fr-CH"/>
              </w:rPr>
              <w:t>modifiées</w:t>
            </w:r>
            <w:r w:rsidR="001E2572" w:rsidRPr="00F74133">
              <w:rPr>
                <w:sz w:val="20"/>
                <w:szCs w:val="20"/>
                <w:lang w:val="fr-CH"/>
              </w:rPr>
              <w:t xml:space="preserve"> en Suisse sans recours au cumul au sens de l'ALE correspondant et qui doivent être réexportées dans le cadre de cet ALE en tant que marchandises d'origine préférentielle en Suisse.</w:t>
            </w:r>
          </w:p>
        </w:tc>
        <w:tc>
          <w:tcPr>
            <w:tcW w:w="3566" w:type="dxa"/>
            <w:vAlign w:val="center"/>
          </w:tcPr>
          <w:p w14:paraId="2C2774F4" w14:textId="0ED7D832" w:rsidR="001E2572" w:rsidRPr="001E2572" w:rsidRDefault="001E2572" w:rsidP="0057442B">
            <w:pPr>
              <w:rPr>
                <w:sz w:val="20"/>
                <w:szCs w:val="20"/>
              </w:rPr>
            </w:pPr>
            <w:r w:rsidRPr="001E2572">
              <w:rPr>
                <w:sz w:val="20"/>
                <w:szCs w:val="20"/>
              </w:rPr>
              <w:t>Non</w:t>
            </w:r>
          </w:p>
        </w:tc>
      </w:tr>
      <w:tr w:rsidR="001E2572" w:rsidRPr="001E2572" w14:paraId="6F0A9FCE" w14:textId="77777777" w:rsidTr="0055454D">
        <w:tc>
          <w:tcPr>
            <w:tcW w:w="6516" w:type="dxa"/>
          </w:tcPr>
          <w:p w14:paraId="25030705" w14:textId="334F9604" w:rsidR="00F74133" w:rsidRDefault="001E2572" w:rsidP="0057442B">
            <w:pPr>
              <w:rPr>
                <w:b/>
                <w:bCs/>
                <w:sz w:val="20"/>
                <w:szCs w:val="20"/>
                <w:lang w:val="fr-CH"/>
              </w:rPr>
            </w:pPr>
            <w:r w:rsidRPr="00936B48">
              <w:rPr>
                <w:b/>
                <w:bCs/>
                <w:sz w:val="20"/>
                <w:szCs w:val="20"/>
                <w:lang w:val="fr-CH"/>
              </w:rPr>
              <w:t xml:space="preserve">Cumul </w:t>
            </w:r>
            <w:r w:rsidR="00F74133">
              <w:rPr>
                <w:b/>
                <w:bCs/>
                <w:sz w:val="20"/>
                <w:szCs w:val="20"/>
                <w:lang w:val="fr-CH"/>
              </w:rPr>
              <w:t>dans l’</w:t>
            </w:r>
            <w:r w:rsidRPr="00936B48">
              <w:rPr>
                <w:b/>
                <w:bCs/>
                <w:sz w:val="20"/>
                <w:szCs w:val="20"/>
                <w:lang w:val="fr-CH"/>
              </w:rPr>
              <w:t>exportation</w:t>
            </w:r>
          </w:p>
          <w:p w14:paraId="1710A653" w14:textId="40FBF3CC" w:rsidR="001E2572" w:rsidRPr="00F74133" w:rsidRDefault="00F74133" w:rsidP="0057442B">
            <w:pPr>
              <w:rPr>
                <w:sz w:val="20"/>
                <w:szCs w:val="20"/>
                <w:lang w:val="fr-CH"/>
              </w:rPr>
            </w:pPr>
            <w:r>
              <w:rPr>
                <w:sz w:val="20"/>
                <w:szCs w:val="20"/>
                <w:lang w:val="fr-CH"/>
              </w:rPr>
              <w:t>L’i</w:t>
            </w:r>
            <w:r w:rsidRPr="00F74133">
              <w:rPr>
                <w:sz w:val="20"/>
                <w:szCs w:val="20"/>
                <w:lang w:val="fr-CH"/>
              </w:rPr>
              <w:t xml:space="preserve">mportation </w:t>
            </w:r>
            <w:r w:rsidR="001E2572" w:rsidRPr="00F74133">
              <w:rPr>
                <w:sz w:val="20"/>
                <w:szCs w:val="20"/>
                <w:lang w:val="fr-CH"/>
              </w:rPr>
              <w:t>de marchandises</w:t>
            </w:r>
            <w:r>
              <w:rPr>
                <w:sz w:val="20"/>
                <w:szCs w:val="20"/>
                <w:lang w:val="fr-CH"/>
              </w:rPr>
              <w:t>,</w:t>
            </w:r>
            <w:r w:rsidR="001E2572" w:rsidRPr="00F74133">
              <w:rPr>
                <w:sz w:val="20"/>
                <w:szCs w:val="20"/>
                <w:lang w:val="fr-CH"/>
              </w:rPr>
              <w:t xml:space="preserve"> qui ne sont considérées comme suffisamment </w:t>
            </w:r>
            <w:r>
              <w:rPr>
                <w:sz w:val="20"/>
                <w:szCs w:val="20"/>
                <w:lang w:val="fr-CH"/>
              </w:rPr>
              <w:t>modifiées</w:t>
            </w:r>
            <w:r w:rsidRPr="00F74133">
              <w:rPr>
                <w:sz w:val="20"/>
                <w:szCs w:val="20"/>
                <w:lang w:val="fr-CH"/>
              </w:rPr>
              <w:t xml:space="preserve"> </w:t>
            </w:r>
            <w:r w:rsidR="001E2572" w:rsidRPr="00F74133">
              <w:rPr>
                <w:sz w:val="20"/>
                <w:szCs w:val="20"/>
                <w:lang w:val="fr-CH"/>
              </w:rPr>
              <w:t xml:space="preserve">en Suisse au sens de l'ALE correspondant que grâce à l'utilisation du cumul et qui doivent être réexportées </w:t>
            </w:r>
            <w:r w:rsidR="00A34B76">
              <w:rPr>
                <w:sz w:val="20"/>
                <w:szCs w:val="20"/>
                <w:lang w:val="fr-CH"/>
              </w:rPr>
              <w:t>de</w:t>
            </w:r>
            <w:r w:rsidR="001E2572" w:rsidRPr="00F74133">
              <w:rPr>
                <w:sz w:val="20"/>
                <w:szCs w:val="20"/>
                <w:lang w:val="fr-CH"/>
              </w:rPr>
              <w:t xml:space="preserve"> Suisse en tant que marchandise d'origine </w:t>
            </w:r>
            <w:r w:rsidR="00012114" w:rsidRPr="00F74133">
              <w:rPr>
                <w:sz w:val="20"/>
                <w:szCs w:val="20"/>
                <w:lang w:val="fr-CH"/>
              </w:rPr>
              <w:t>préférentielle ou revendues en Suisse avec une origine préférentielle.</w:t>
            </w:r>
          </w:p>
        </w:tc>
        <w:tc>
          <w:tcPr>
            <w:tcW w:w="3566" w:type="dxa"/>
            <w:vAlign w:val="center"/>
          </w:tcPr>
          <w:p w14:paraId="74C97140" w14:textId="42306F86" w:rsidR="001E2572" w:rsidRPr="001E2572" w:rsidRDefault="001E2572" w:rsidP="0057442B">
            <w:pPr>
              <w:rPr>
                <w:sz w:val="20"/>
                <w:szCs w:val="20"/>
              </w:rPr>
            </w:pPr>
            <w:r w:rsidRPr="001E2572">
              <w:rPr>
                <w:sz w:val="20"/>
                <w:szCs w:val="20"/>
              </w:rPr>
              <w:t>Oui</w:t>
            </w:r>
          </w:p>
        </w:tc>
      </w:tr>
      <w:tr w:rsidR="001E2572" w:rsidRPr="001E2572" w14:paraId="1F0870D8" w14:textId="77777777" w:rsidTr="0055454D">
        <w:tc>
          <w:tcPr>
            <w:tcW w:w="6516" w:type="dxa"/>
          </w:tcPr>
          <w:p w14:paraId="33517C7E" w14:textId="0DC98B90" w:rsidR="001E2572" w:rsidRPr="00936B48" w:rsidRDefault="001E2572" w:rsidP="0057442B">
            <w:pPr>
              <w:rPr>
                <w:sz w:val="20"/>
                <w:szCs w:val="20"/>
                <w:lang w:val="fr-CH"/>
              </w:rPr>
            </w:pPr>
            <w:r w:rsidRPr="00936B48">
              <w:rPr>
                <w:b/>
                <w:bCs/>
                <w:sz w:val="20"/>
                <w:szCs w:val="20"/>
                <w:lang w:val="fr-CH"/>
              </w:rPr>
              <w:t>Commerce de transit (commerce inchangé)</w:t>
            </w:r>
            <w:r w:rsidRPr="00936B48">
              <w:rPr>
                <w:sz w:val="20"/>
                <w:szCs w:val="20"/>
                <w:lang w:val="fr-CH"/>
              </w:rPr>
              <w:br/>
            </w:r>
            <w:r w:rsidR="00F74133">
              <w:rPr>
                <w:sz w:val="20"/>
                <w:szCs w:val="20"/>
                <w:lang w:val="fr-CH"/>
              </w:rPr>
              <w:t>L’i</w:t>
            </w:r>
            <w:r w:rsidR="00F74133" w:rsidRPr="00F74133">
              <w:rPr>
                <w:sz w:val="20"/>
                <w:szCs w:val="20"/>
                <w:lang w:val="fr-CH"/>
              </w:rPr>
              <w:t xml:space="preserve">mportation </w:t>
            </w:r>
            <w:r w:rsidRPr="00936B48">
              <w:rPr>
                <w:sz w:val="20"/>
                <w:szCs w:val="20"/>
                <w:lang w:val="fr-CH"/>
              </w:rPr>
              <w:t>de marchandises destinées à être réexportées en tant que marchandises d'origine préférentielle ou revendues sur le marché intérieur avec une origine préférentielle à des pays partenaires de libre-échange avec lesquels le cumul de l'origine est possible.</w:t>
            </w:r>
          </w:p>
        </w:tc>
        <w:tc>
          <w:tcPr>
            <w:tcW w:w="3566" w:type="dxa"/>
            <w:vAlign w:val="center"/>
          </w:tcPr>
          <w:p w14:paraId="5821AD76" w14:textId="53AC1986" w:rsidR="001E2572" w:rsidRPr="001E2572" w:rsidRDefault="001E2572" w:rsidP="0057442B">
            <w:pPr>
              <w:rPr>
                <w:sz w:val="20"/>
                <w:szCs w:val="20"/>
              </w:rPr>
            </w:pPr>
            <w:r w:rsidRPr="001E2572">
              <w:rPr>
                <w:sz w:val="20"/>
                <w:szCs w:val="20"/>
              </w:rPr>
              <w:t>Oui</w:t>
            </w:r>
          </w:p>
        </w:tc>
      </w:tr>
      <w:tr w:rsidR="001E2572" w:rsidRPr="001E2572" w14:paraId="69C0DEE2" w14:textId="77777777" w:rsidTr="0055454D">
        <w:tc>
          <w:tcPr>
            <w:tcW w:w="6516" w:type="dxa"/>
          </w:tcPr>
          <w:p w14:paraId="7635EB46" w14:textId="5AA32F56" w:rsidR="00F74133" w:rsidRDefault="001E2572" w:rsidP="0057442B">
            <w:pPr>
              <w:rPr>
                <w:b/>
                <w:bCs/>
                <w:sz w:val="20"/>
                <w:szCs w:val="20"/>
                <w:lang w:val="fr-CH"/>
              </w:rPr>
            </w:pPr>
            <w:r w:rsidRPr="00936B48">
              <w:rPr>
                <w:b/>
                <w:bCs/>
                <w:sz w:val="20"/>
                <w:szCs w:val="20"/>
                <w:lang w:val="fr-CH"/>
              </w:rPr>
              <w:t xml:space="preserve">La preuve d'origine </w:t>
            </w:r>
            <w:r w:rsidR="00F74133" w:rsidRPr="00936B48">
              <w:rPr>
                <w:b/>
                <w:bCs/>
                <w:sz w:val="20"/>
                <w:szCs w:val="20"/>
                <w:lang w:val="fr-CH"/>
              </w:rPr>
              <w:t xml:space="preserve">préférentielle </w:t>
            </w:r>
            <w:r w:rsidRPr="00936B48">
              <w:rPr>
                <w:b/>
                <w:bCs/>
                <w:sz w:val="20"/>
                <w:szCs w:val="20"/>
                <w:lang w:val="fr-CH"/>
              </w:rPr>
              <w:t>sert de base à la demande d'un certificat d'origine en cas de réexportation</w:t>
            </w:r>
          </w:p>
          <w:p w14:paraId="21B777F0" w14:textId="7A6DEAF4" w:rsidR="001E2572" w:rsidRPr="00F74133" w:rsidRDefault="00F74133" w:rsidP="0057442B">
            <w:pPr>
              <w:rPr>
                <w:sz w:val="20"/>
                <w:szCs w:val="20"/>
                <w:lang w:val="fr-CH"/>
              </w:rPr>
            </w:pPr>
            <w:r>
              <w:rPr>
                <w:sz w:val="20"/>
                <w:szCs w:val="20"/>
                <w:lang w:val="fr-CH"/>
              </w:rPr>
              <w:t>L’i</w:t>
            </w:r>
            <w:r w:rsidRPr="00F74133">
              <w:rPr>
                <w:sz w:val="20"/>
                <w:szCs w:val="20"/>
                <w:lang w:val="fr-CH"/>
              </w:rPr>
              <w:t xml:space="preserve">mportation </w:t>
            </w:r>
            <w:r w:rsidR="001E2572" w:rsidRPr="00F74133">
              <w:rPr>
                <w:sz w:val="20"/>
                <w:szCs w:val="20"/>
                <w:lang w:val="fr-CH"/>
              </w:rPr>
              <w:t>de marchandises</w:t>
            </w:r>
            <w:r>
              <w:rPr>
                <w:sz w:val="20"/>
                <w:szCs w:val="20"/>
                <w:lang w:val="fr-CH"/>
              </w:rPr>
              <w:t>,</w:t>
            </w:r>
            <w:r w:rsidR="001E2572" w:rsidRPr="00F74133">
              <w:rPr>
                <w:sz w:val="20"/>
                <w:szCs w:val="20"/>
                <w:lang w:val="fr-CH"/>
              </w:rPr>
              <w:t xml:space="preserve"> qui doivent être réexportées telles quelles</w:t>
            </w:r>
            <w:r>
              <w:rPr>
                <w:sz w:val="20"/>
                <w:szCs w:val="20"/>
                <w:lang w:val="fr-CH"/>
              </w:rPr>
              <w:t>,</w:t>
            </w:r>
            <w:r w:rsidR="001E2572" w:rsidRPr="00F74133">
              <w:rPr>
                <w:sz w:val="20"/>
                <w:szCs w:val="20"/>
                <w:lang w:val="fr-CH"/>
              </w:rPr>
              <w:t xml:space="preserve"> et une preuve préférentielle de l</w:t>
            </w:r>
            <w:r w:rsidR="001A4536" w:rsidRPr="00F74133">
              <w:rPr>
                <w:sz w:val="20"/>
                <w:szCs w:val="20"/>
                <w:lang w:val="fr-CH"/>
              </w:rPr>
              <w:t>'origine est destinée à servir de base à la demande d'un certificat d'origine.</w:t>
            </w:r>
          </w:p>
        </w:tc>
        <w:tc>
          <w:tcPr>
            <w:tcW w:w="3566" w:type="dxa"/>
            <w:vAlign w:val="center"/>
          </w:tcPr>
          <w:p w14:paraId="1680E43E" w14:textId="739F2902" w:rsidR="001E2572" w:rsidRPr="001E2572" w:rsidRDefault="001E2572" w:rsidP="0057442B">
            <w:pPr>
              <w:rPr>
                <w:sz w:val="20"/>
                <w:szCs w:val="20"/>
              </w:rPr>
            </w:pPr>
            <w:r>
              <w:rPr>
                <w:sz w:val="20"/>
                <w:szCs w:val="20"/>
              </w:rPr>
              <w:t>Oui</w:t>
            </w:r>
          </w:p>
        </w:tc>
      </w:tr>
    </w:tbl>
    <w:p w14:paraId="6F19CA25" w14:textId="74E5C969" w:rsidR="0055454D" w:rsidRPr="00936B48" w:rsidRDefault="009A25FA" w:rsidP="007131DE">
      <w:pPr>
        <w:jc w:val="both"/>
        <w:rPr>
          <w:sz w:val="18"/>
          <w:szCs w:val="18"/>
          <w:lang w:val="fr-CH"/>
        </w:rPr>
      </w:pPr>
      <w:r w:rsidRPr="00936B48">
        <w:rPr>
          <w:sz w:val="18"/>
          <w:szCs w:val="18"/>
          <w:lang w:val="fr-CH"/>
        </w:rPr>
        <w:t xml:space="preserve">Source : SECO, </w:t>
      </w:r>
      <w:hyperlink r:id="rId15" w:history="1">
        <w:r w:rsidR="003B21A5">
          <w:rPr>
            <w:rStyle w:val="Lienhypertexte"/>
            <w:sz w:val="18"/>
            <w:szCs w:val="18"/>
            <w:lang w:val="fr-CH"/>
          </w:rPr>
          <w:t>Suppression des droits de douane sur les produits industriels (admin.ch),</w:t>
        </w:r>
      </w:hyperlink>
      <w:r w:rsidRPr="00936B48">
        <w:rPr>
          <w:sz w:val="18"/>
          <w:szCs w:val="18"/>
          <w:lang w:val="fr-CH"/>
        </w:rPr>
        <w:t xml:space="preserve"> novembre 2023</w:t>
      </w:r>
    </w:p>
    <w:sectPr w:rsidR="0055454D" w:rsidRPr="00936B48" w:rsidSect="00CC72E2">
      <w:type w:val="continuous"/>
      <w:pgSz w:w="11906" w:h="17338"/>
      <w:pgMar w:top="1134" w:right="907" w:bottom="284" w:left="907"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75DD" w14:textId="77777777" w:rsidR="002B178D" w:rsidRDefault="002B178D" w:rsidP="006C6B52">
      <w:pPr>
        <w:spacing w:after="0" w:line="240" w:lineRule="auto"/>
      </w:pPr>
      <w:r>
        <w:separator/>
      </w:r>
    </w:p>
  </w:endnote>
  <w:endnote w:type="continuationSeparator" w:id="0">
    <w:p w14:paraId="25E90973" w14:textId="77777777" w:rsidR="002B178D" w:rsidRDefault="002B178D" w:rsidP="006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45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D2FE" w14:textId="77777777" w:rsidR="002B178D" w:rsidRDefault="002B178D" w:rsidP="006C6B52">
      <w:pPr>
        <w:spacing w:after="0" w:line="240" w:lineRule="auto"/>
      </w:pPr>
      <w:r>
        <w:separator/>
      </w:r>
    </w:p>
  </w:footnote>
  <w:footnote w:type="continuationSeparator" w:id="0">
    <w:p w14:paraId="04611880" w14:textId="77777777" w:rsidR="002B178D" w:rsidRDefault="002B178D" w:rsidP="006C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D2D7" w14:textId="0752141C" w:rsidR="00CC72E2" w:rsidRDefault="00CC72E2">
    <w:pPr>
      <w:pStyle w:val="En-tte"/>
    </w:pPr>
    <w:r w:rsidRPr="000D1A17">
      <w:rPr>
        <w:rFonts w:asciiTheme="minorHAnsi" w:hAnsiTheme="minorHAnsi" w:cstheme="minorHAnsi"/>
        <w:noProof/>
        <w:lang w:eastAsia="de-CH"/>
      </w:rPr>
      <w:drawing>
        <wp:anchor distT="0" distB="0" distL="114300" distR="114300" simplePos="0" relativeHeight="251659264" behindDoc="1" locked="0" layoutInCell="1" allowOverlap="1" wp14:anchorId="72DA19FC" wp14:editId="1E79B33D">
          <wp:simplePos x="0" y="0"/>
          <wp:positionH relativeFrom="column">
            <wp:posOffset>0</wp:posOffset>
          </wp:positionH>
          <wp:positionV relativeFrom="paragraph">
            <wp:posOffset>172720</wp:posOffset>
          </wp:positionV>
          <wp:extent cx="2260800" cy="540000"/>
          <wp:effectExtent l="0" t="0" r="6350" b="0"/>
          <wp:wrapTight wrapText="bothSides">
            <wp:wrapPolygon edited="0">
              <wp:start x="9647" y="0"/>
              <wp:lineTo x="0" y="4574"/>
              <wp:lineTo x="0" y="16009"/>
              <wp:lineTo x="9647" y="20584"/>
              <wp:lineTo x="12378" y="20584"/>
              <wp:lineTo x="21479" y="18296"/>
              <wp:lineTo x="21479" y="4574"/>
              <wp:lineTo x="12378" y="0"/>
              <wp:lineTo x="9647" y="0"/>
            </wp:wrapPolygon>
          </wp:wrapTight>
          <wp:docPr id="2" name="Bild 2" descr="Chambre de commerce et d'industrie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weizer Industrie- und Handelskam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8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0D3"/>
    <w:multiLevelType w:val="hybridMultilevel"/>
    <w:tmpl w:val="50B0C25C"/>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7241DC"/>
    <w:multiLevelType w:val="hybridMultilevel"/>
    <w:tmpl w:val="A312636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A7574B"/>
    <w:multiLevelType w:val="hybridMultilevel"/>
    <w:tmpl w:val="53A8C80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391D40"/>
    <w:multiLevelType w:val="hybridMultilevel"/>
    <w:tmpl w:val="C1902DF4"/>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4D2BDF"/>
    <w:multiLevelType w:val="hybridMultilevel"/>
    <w:tmpl w:val="8E70EF6C"/>
    <w:lvl w:ilvl="0" w:tplc="4798032E">
      <w:start w:val="1"/>
      <w:numFmt w:val="decimal"/>
      <w:lvlText w:val="%1.)"/>
      <w:lvlJc w:val="left"/>
      <w:pPr>
        <w:ind w:left="1288" w:hanging="360"/>
      </w:pPr>
      <w:rPr>
        <w:rFonts w:hint="default"/>
        <w:color w:val="auto"/>
      </w:rPr>
    </w:lvl>
    <w:lvl w:ilvl="1" w:tplc="08070019">
      <w:start w:val="1"/>
      <w:numFmt w:val="lowerLetter"/>
      <w:lvlText w:val="%2."/>
      <w:lvlJc w:val="left"/>
      <w:pPr>
        <w:ind w:left="2008" w:hanging="360"/>
      </w:pPr>
    </w:lvl>
    <w:lvl w:ilvl="2" w:tplc="0807001B" w:tentative="1">
      <w:start w:val="1"/>
      <w:numFmt w:val="lowerRoman"/>
      <w:lvlText w:val="%3."/>
      <w:lvlJc w:val="right"/>
      <w:pPr>
        <w:ind w:left="2728" w:hanging="180"/>
      </w:pPr>
    </w:lvl>
    <w:lvl w:ilvl="3" w:tplc="0807000F" w:tentative="1">
      <w:start w:val="1"/>
      <w:numFmt w:val="decimal"/>
      <w:lvlText w:val="%4."/>
      <w:lvlJc w:val="left"/>
      <w:pPr>
        <w:ind w:left="3448" w:hanging="360"/>
      </w:pPr>
    </w:lvl>
    <w:lvl w:ilvl="4" w:tplc="08070019" w:tentative="1">
      <w:start w:val="1"/>
      <w:numFmt w:val="lowerLetter"/>
      <w:lvlText w:val="%5."/>
      <w:lvlJc w:val="left"/>
      <w:pPr>
        <w:ind w:left="4168" w:hanging="360"/>
      </w:pPr>
    </w:lvl>
    <w:lvl w:ilvl="5" w:tplc="0807001B" w:tentative="1">
      <w:start w:val="1"/>
      <w:numFmt w:val="lowerRoman"/>
      <w:lvlText w:val="%6."/>
      <w:lvlJc w:val="right"/>
      <w:pPr>
        <w:ind w:left="4888" w:hanging="180"/>
      </w:pPr>
    </w:lvl>
    <w:lvl w:ilvl="6" w:tplc="0807000F" w:tentative="1">
      <w:start w:val="1"/>
      <w:numFmt w:val="decimal"/>
      <w:lvlText w:val="%7."/>
      <w:lvlJc w:val="left"/>
      <w:pPr>
        <w:ind w:left="5608" w:hanging="360"/>
      </w:pPr>
    </w:lvl>
    <w:lvl w:ilvl="7" w:tplc="08070019" w:tentative="1">
      <w:start w:val="1"/>
      <w:numFmt w:val="lowerLetter"/>
      <w:lvlText w:val="%8."/>
      <w:lvlJc w:val="left"/>
      <w:pPr>
        <w:ind w:left="6328" w:hanging="360"/>
      </w:pPr>
    </w:lvl>
    <w:lvl w:ilvl="8" w:tplc="0807001B" w:tentative="1">
      <w:start w:val="1"/>
      <w:numFmt w:val="lowerRoman"/>
      <w:lvlText w:val="%9."/>
      <w:lvlJc w:val="right"/>
      <w:pPr>
        <w:ind w:left="7048" w:hanging="180"/>
      </w:pPr>
    </w:lvl>
  </w:abstractNum>
  <w:abstractNum w:abstractNumId="5" w15:restartNumberingAfterBreak="0">
    <w:nsid w:val="1F471ECE"/>
    <w:multiLevelType w:val="hybridMultilevel"/>
    <w:tmpl w:val="0A34F2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9F06C7"/>
    <w:multiLevelType w:val="hybridMultilevel"/>
    <w:tmpl w:val="4F5A8D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2F37DE5"/>
    <w:multiLevelType w:val="hybridMultilevel"/>
    <w:tmpl w:val="E766F784"/>
    <w:lvl w:ilvl="0" w:tplc="401E1AD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3C46170"/>
    <w:multiLevelType w:val="hybridMultilevel"/>
    <w:tmpl w:val="AAF4028E"/>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DB038D"/>
    <w:multiLevelType w:val="hybridMultilevel"/>
    <w:tmpl w:val="CB2E3042"/>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480A9A"/>
    <w:multiLevelType w:val="hybridMultilevel"/>
    <w:tmpl w:val="D10E9864"/>
    <w:lvl w:ilvl="0" w:tplc="3F2E299A">
      <w:start w:val="1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77633D"/>
    <w:multiLevelType w:val="hybridMultilevel"/>
    <w:tmpl w:val="CA8CD822"/>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5822D3"/>
    <w:multiLevelType w:val="hybridMultilevel"/>
    <w:tmpl w:val="6DD0452E"/>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8C4A6B"/>
    <w:multiLevelType w:val="hybridMultilevel"/>
    <w:tmpl w:val="714043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9E39DC"/>
    <w:multiLevelType w:val="hybridMultilevel"/>
    <w:tmpl w:val="8D600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E13A51"/>
    <w:multiLevelType w:val="hybridMultilevel"/>
    <w:tmpl w:val="2FCC0C64"/>
    <w:lvl w:ilvl="0" w:tplc="08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662553"/>
    <w:multiLevelType w:val="hybridMultilevel"/>
    <w:tmpl w:val="34E6C1B6"/>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580DC6"/>
    <w:multiLevelType w:val="hybridMultilevel"/>
    <w:tmpl w:val="13C02F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2B63C7"/>
    <w:multiLevelType w:val="hybridMultilevel"/>
    <w:tmpl w:val="30AEDF96"/>
    <w:lvl w:ilvl="0" w:tplc="08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F037D8"/>
    <w:multiLevelType w:val="hybridMultilevel"/>
    <w:tmpl w:val="C6AC513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48198579">
    <w:abstractNumId w:val="19"/>
  </w:num>
  <w:num w:numId="2" w16cid:durableId="1410809371">
    <w:abstractNumId w:val="7"/>
  </w:num>
  <w:num w:numId="3" w16cid:durableId="1277180964">
    <w:abstractNumId w:val="10"/>
  </w:num>
  <w:num w:numId="4" w16cid:durableId="90703430">
    <w:abstractNumId w:val="4"/>
  </w:num>
  <w:num w:numId="5" w16cid:durableId="1769545422">
    <w:abstractNumId w:val="4"/>
    <w:lvlOverride w:ilvl="0">
      <w:lvl w:ilvl="0" w:tplc="4798032E">
        <w:start w:val="1"/>
        <w:numFmt w:val="decimal"/>
        <w:lvlText w:val="%1.)"/>
        <w:lvlJc w:val="left"/>
        <w:pPr>
          <w:ind w:left="510" w:hanging="150"/>
        </w:pPr>
        <w:rPr>
          <w:rFonts w:hint="default"/>
          <w:color w:val="auto"/>
        </w:rPr>
      </w:lvl>
    </w:lvlOverride>
    <w:lvlOverride w:ilvl="1">
      <w:lvl w:ilvl="1" w:tplc="08070019" w:tentative="1">
        <w:start w:val="1"/>
        <w:numFmt w:val="lowerLetter"/>
        <w:lvlText w:val="%2."/>
        <w:lvlJc w:val="left"/>
        <w:pPr>
          <w:ind w:left="1440" w:hanging="360"/>
        </w:pPr>
      </w:lvl>
    </w:lvlOverride>
    <w:lvlOverride w:ilvl="2">
      <w:lvl w:ilvl="2" w:tplc="0807001B" w:tentative="1">
        <w:start w:val="1"/>
        <w:numFmt w:val="lowerRoman"/>
        <w:lvlText w:val="%3."/>
        <w:lvlJc w:val="right"/>
        <w:pPr>
          <w:ind w:left="2160" w:hanging="180"/>
        </w:pPr>
      </w:lvl>
    </w:lvlOverride>
    <w:lvlOverride w:ilvl="3">
      <w:lvl w:ilvl="3" w:tplc="0807000F" w:tentative="1">
        <w:start w:val="1"/>
        <w:numFmt w:val="decimal"/>
        <w:lvlText w:val="%4."/>
        <w:lvlJc w:val="left"/>
        <w:pPr>
          <w:ind w:left="2880" w:hanging="360"/>
        </w:pPr>
      </w:lvl>
    </w:lvlOverride>
    <w:lvlOverride w:ilvl="4">
      <w:lvl w:ilvl="4" w:tplc="08070019" w:tentative="1">
        <w:start w:val="1"/>
        <w:numFmt w:val="lowerLetter"/>
        <w:lvlText w:val="%5."/>
        <w:lvlJc w:val="left"/>
        <w:pPr>
          <w:ind w:left="3600" w:hanging="360"/>
        </w:pPr>
      </w:lvl>
    </w:lvlOverride>
    <w:lvlOverride w:ilvl="5">
      <w:lvl w:ilvl="5" w:tplc="0807001B" w:tentative="1">
        <w:start w:val="1"/>
        <w:numFmt w:val="lowerRoman"/>
        <w:lvlText w:val="%6."/>
        <w:lvlJc w:val="right"/>
        <w:pPr>
          <w:ind w:left="4320" w:hanging="180"/>
        </w:pPr>
      </w:lvl>
    </w:lvlOverride>
    <w:lvlOverride w:ilvl="6">
      <w:lvl w:ilvl="6" w:tplc="0807000F" w:tentative="1">
        <w:start w:val="1"/>
        <w:numFmt w:val="decimal"/>
        <w:lvlText w:val="%7."/>
        <w:lvlJc w:val="left"/>
        <w:pPr>
          <w:ind w:left="5040" w:hanging="360"/>
        </w:pPr>
      </w:lvl>
    </w:lvlOverride>
    <w:lvlOverride w:ilvl="7">
      <w:lvl w:ilvl="7" w:tplc="08070019" w:tentative="1">
        <w:start w:val="1"/>
        <w:numFmt w:val="lowerLetter"/>
        <w:lvlText w:val="%8."/>
        <w:lvlJc w:val="left"/>
        <w:pPr>
          <w:ind w:left="5760" w:hanging="360"/>
        </w:pPr>
      </w:lvl>
    </w:lvlOverride>
    <w:lvlOverride w:ilvl="8">
      <w:lvl w:ilvl="8" w:tplc="0807001B" w:tentative="1">
        <w:start w:val="1"/>
        <w:numFmt w:val="lowerRoman"/>
        <w:lvlText w:val="%9."/>
        <w:lvlJc w:val="right"/>
        <w:pPr>
          <w:ind w:left="6480" w:hanging="180"/>
        </w:pPr>
      </w:lvl>
    </w:lvlOverride>
  </w:num>
  <w:num w:numId="6" w16cid:durableId="1061637308">
    <w:abstractNumId w:val="13"/>
  </w:num>
  <w:num w:numId="7" w16cid:durableId="1995062856">
    <w:abstractNumId w:val="14"/>
  </w:num>
  <w:num w:numId="8" w16cid:durableId="705830482">
    <w:abstractNumId w:val="11"/>
  </w:num>
  <w:num w:numId="9" w16cid:durableId="464126082">
    <w:abstractNumId w:val="8"/>
  </w:num>
  <w:num w:numId="10" w16cid:durableId="1109276741">
    <w:abstractNumId w:val="9"/>
  </w:num>
  <w:num w:numId="11" w16cid:durableId="1028095845">
    <w:abstractNumId w:val="3"/>
  </w:num>
  <w:num w:numId="12" w16cid:durableId="1688216635">
    <w:abstractNumId w:val="16"/>
  </w:num>
  <w:num w:numId="13" w16cid:durableId="97648880">
    <w:abstractNumId w:val="12"/>
  </w:num>
  <w:num w:numId="14" w16cid:durableId="1468206407">
    <w:abstractNumId w:val="0"/>
  </w:num>
  <w:num w:numId="15" w16cid:durableId="1729572788">
    <w:abstractNumId w:val="6"/>
  </w:num>
  <w:num w:numId="16" w16cid:durableId="1410423282">
    <w:abstractNumId w:val="5"/>
  </w:num>
  <w:num w:numId="17" w16cid:durableId="443353654">
    <w:abstractNumId w:val="15"/>
  </w:num>
  <w:num w:numId="18" w16cid:durableId="247076460">
    <w:abstractNumId w:val="18"/>
  </w:num>
  <w:num w:numId="19" w16cid:durableId="52239589">
    <w:abstractNumId w:val="2"/>
  </w:num>
  <w:num w:numId="20" w16cid:durableId="14814069">
    <w:abstractNumId w:val="1"/>
  </w:num>
  <w:num w:numId="21" w16cid:durableId="2091346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52"/>
    <w:rsid w:val="00012114"/>
    <w:rsid w:val="00037C65"/>
    <w:rsid w:val="0004145F"/>
    <w:rsid w:val="000535D5"/>
    <w:rsid w:val="0005600F"/>
    <w:rsid w:val="00071C8D"/>
    <w:rsid w:val="00072037"/>
    <w:rsid w:val="00074EEB"/>
    <w:rsid w:val="000D1005"/>
    <w:rsid w:val="000D417C"/>
    <w:rsid w:val="000F51E5"/>
    <w:rsid w:val="0010513A"/>
    <w:rsid w:val="0013129D"/>
    <w:rsid w:val="00133715"/>
    <w:rsid w:val="00153BEB"/>
    <w:rsid w:val="00156134"/>
    <w:rsid w:val="00157007"/>
    <w:rsid w:val="0016143C"/>
    <w:rsid w:val="00162883"/>
    <w:rsid w:val="0016532E"/>
    <w:rsid w:val="001A4536"/>
    <w:rsid w:val="001C53B5"/>
    <w:rsid w:val="001E2572"/>
    <w:rsid w:val="001F276E"/>
    <w:rsid w:val="0021059D"/>
    <w:rsid w:val="0021304B"/>
    <w:rsid w:val="00213275"/>
    <w:rsid w:val="00215E44"/>
    <w:rsid w:val="00244FB9"/>
    <w:rsid w:val="00260F1B"/>
    <w:rsid w:val="00286411"/>
    <w:rsid w:val="002B178D"/>
    <w:rsid w:val="002D0650"/>
    <w:rsid w:val="002F7A0B"/>
    <w:rsid w:val="003108A5"/>
    <w:rsid w:val="00316685"/>
    <w:rsid w:val="00383163"/>
    <w:rsid w:val="00393C69"/>
    <w:rsid w:val="003B21A5"/>
    <w:rsid w:val="003F17AE"/>
    <w:rsid w:val="00422821"/>
    <w:rsid w:val="00451A45"/>
    <w:rsid w:val="00484358"/>
    <w:rsid w:val="00496C8E"/>
    <w:rsid w:val="004C1754"/>
    <w:rsid w:val="004D1A8F"/>
    <w:rsid w:val="005158B9"/>
    <w:rsid w:val="00530374"/>
    <w:rsid w:val="00541D95"/>
    <w:rsid w:val="00547737"/>
    <w:rsid w:val="0055454D"/>
    <w:rsid w:val="0057442B"/>
    <w:rsid w:val="00581F38"/>
    <w:rsid w:val="005C4446"/>
    <w:rsid w:val="005F5478"/>
    <w:rsid w:val="00606B65"/>
    <w:rsid w:val="00611191"/>
    <w:rsid w:val="006119AF"/>
    <w:rsid w:val="00644E13"/>
    <w:rsid w:val="00652508"/>
    <w:rsid w:val="00653046"/>
    <w:rsid w:val="0066737E"/>
    <w:rsid w:val="00686DF0"/>
    <w:rsid w:val="00690587"/>
    <w:rsid w:val="00693906"/>
    <w:rsid w:val="0069688C"/>
    <w:rsid w:val="006B2456"/>
    <w:rsid w:val="006C6B52"/>
    <w:rsid w:val="006F41D7"/>
    <w:rsid w:val="00702C5C"/>
    <w:rsid w:val="007131DE"/>
    <w:rsid w:val="00715CEA"/>
    <w:rsid w:val="007304C7"/>
    <w:rsid w:val="00743012"/>
    <w:rsid w:val="00757883"/>
    <w:rsid w:val="00760F19"/>
    <w:rsid w:val="007B4973"/>
    <w:rsid w:val="007C19B5"/>
    <w:rsid w:val="007D0676"/>
    <w:rsid w:val="007D2F14"/>
    <w:rsid w:val="007E27FB"/>
    <w:rsid w:val="007E7F1B"/>
    <w:rsid w:val="0080368E"/>
    <w:rsid w:val="00805ACE"/>
    <w:rsid w:val="0082238A"/>
    <w:rsid w:val="00831CFA"/>
    <w:rsid w:val="00852362"/>
    <w:rsid w:val="00892FB1"/>
    <w:rsid w:val="008D6B4D"/>
    <w:rsid w:val="008E500C"/>
    <w:rsid w:val="008F04EF"/>
    <w:rsid w:val="008F6D2C"/>
    <w:rsid w:val="009165ED"/>
    <w:rsid w:val="00936B48"/>
    <w:rsid w:val="00945EF3"/>
    <w:rsid w:val="009524D7"/>
    <w:rsid w:val="00982B77"/>
    <w:rsid w:val="009A25FA"/>
    <w:rsid w:val="009A4167"/>
    <w:rsid w:val="009B4F4E"/>
    <w:rsid w:val="009C7688"/>
    <w:rsid w:val="009D57F8"/>
    <w:rsid w:val="009E26F0"/>
    <w:rsid w:val="00A225D9"/>
    <w:rsid w:val="00A34B76"/>
    <w:rsid w:val="00A632A2"/>
    <w:rsid w:val="00A818E7"/>
    <w:rsid w:val="00A83E9A"/>
    <w:rsid w:val="00A91308"/>
    <w:rsid w:val="00A91F55"/>
    <w:rsid w:val="00A925A0"/>
    <w:rsid w:val="00AD33B0"/>
    <w:rsid w:val="00AD39BF"/>
    <w:rsid w:val="00AD3A79"/>
    <w:rsid w:val="00AF1595"/>
    <w:rsid w:val="00AF556A"/>
    <w:rsid w:val="00AF6821"/>
    <w:rsid w:val="00B14895"/>
    <w:rsid w:val="00B41B5A"/>
    <w:rsid w:val="00B512E1"/>
    <w:rsid w:val="00B82249"/>
    <w:rsid w:val="00BC664F"/>
    <w:rsid w:val="00BC7398"/>
    <w:rsid w:val="00BD1EB2"/>
    <w:rsid w:val="00C25AB3"/>
    <w:rsid w:val="00C2650D"/>
    <w:rsid w:val="00C27763"/>
    <w:rsid w:val="00C474F4"/>
    <w:rsid w:val="00CC31E8"/>
    <w:rsid w:val="00CC72E2"/>
    <w:rsid w:val="00D15313"/>
    <w:rsid w:val="00D201C4"/>
    <w:rsid w:val="00D24373"/>
    <w:rsid w:val="00D7088B"/>
    <w:rsid w:val="00DF51DD"/>
    <w:rsid w:val="00E0368B"/>
    <w:rsid w:val="00E3557F"/>
    <w:rsid w:val="00E45B73"/>
    <w:rsid w:val="00E51142"/>
    <w:rsid w:val="00E60167"/>
    <w:rsid w:val="00E60EE0"/>
    <w:rsid w:val="00E64A7D"/>
    <w:rsid w:val="00E71559"/>
    <w:rsid w:val="00EB6FC9"/>
    <w:rsid w:val="00EC1777"/>
    <w:rsid w:val="00EE173B"/>
    <w:rsid w:val="00F24815"/>
    <w:rsid w:val="00F376D0"/>
    <w:rsid w:val="00F74133"/>
    <w:rsid w:val="00F93517"/>
    <w:rsid w:val="00FD3012"/>
    <w:rsid w:val="00FF2E00"/>
    <w:rsid w:val="00FF752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0AE1"/>
  <w15:chartTrackingRefBased/>
  <w15:docId w15:val="{0C0C54F1-AB46-46D0-BD82-F2D3623A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45 Light" w:eastAsiaTheme="minorHAnsi" w:hAnsi="Frutiger LT 45 Light"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C6B52"/>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C6B52"/>
    <w:rPr>
      <w:color w:val="0563C1" w:themeColor="hyperlink"/>
      <w:u w:val="single"/>
    </w:rPr>
  </w:style>
  <w:style w:type="character" w:styleId="Mentionnonrsolue">
    <w:name w:val="Unresolved Mention"/>
    <w:basedOn w:val="Policepardfaut"/>
    <w:uiPriority w:val="99"/>
    <w:semiHidden/>
    <w:unhideWhenUsed/>
    <w:rsid w:val="006C6B52"/>
    <w:rPr>
      <w:color w:val="605E5C"/>
      <w:shd w:val="clear" w:color="auto" w:fill="E1DFDD"/>
    </w:rPr>
  </w:style>
  <w:style w:type="paragraph" w:styleId="En-tte">
    <w:name w:val="header"/>
    <w:basedOn w:val="Normal"/>
    <w:link w:val="En-tteCar"/>
    <w:uiPriority w:val="99"/>
    <w:unhideWhenUsed/>
    <w:rsid w:val="006C6B52"/>
    <w:pPr>
      <w:tabs>
        <w:tab w:val="center" w:pos="4536"/>
        <w:tab w:val="right" w:pos="9072"/>
      </w:tabs>
      <w:spacing w:after="0" w:line="240" w:lineRule="auto"/>
    </w:pPr>
  </w:style>
  <w:style w:type="character" w:customStyle="1" w:styleId="En-tteCar">
    <w:name w:val="En-tête Car"/>
    <w:basedOn w:val="Policepardfaut"/>
    <w:link w:val="En-tte"/>
    <w:uiPriority w:val="99"/>
    <w:rsid w:val="006C6B52"/>
  </w:style>
  <w:style w:type="paragraph" w:styleId="Pieddepage">
    <w:name w:val="footer"/>
    <w:basedOn w:val="Normal"/>
    <w:link w:val="PieddepageCar"/>
    <w:uiPriority w:val="99"/>
    <w:unhideWhenUsed/>
    <w:rsid w:val="006C6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B52"/>
  </w:style>
  <w:style w:type="character" w:styleId="Lienhypertextesuivivisit">
    <w:name w:val="FollowedHyperlink"/>
    <w:basedOn w:val="Policepardfaut"/>
    <w:uiPriority w:val="99"/>
    <w:semiHidden/>
    <w:unhideWhenUsed/>
    <w:rsid w:val="00286411"/>
    <w:rPr>
      <w:color w:val="954F72" w:themeColor="followedHyperlink"/>
      <w:u w:val="single"/>
    </w:rPr>
  </w:style>
  <w:style w:type="paragraph" w:styleId="Paragraphedeliste">
    <w:name w:val="List Paragraph"/>
    <w:basedOn w:val="Normal"/>
    <w:uiPriority w:val="34"/>
    <w:qFormat/>
    <w:rsid w:val="00157007"/>
    <w:pPr>
      <w:ind w:left="720"/>
      <w:contextualSpacing/>
    </w:pPr>
  </w:style>
  <w:style w:type="paragraph" w:styleId="Corpsdetexte">
    <w:name w:val="Body Text"/>
    <w:basedOn w:val="Normal"/>
    <w:link w:val="CorpsdetexteCar"/>
    <w:uiPriority w:val="99"/>
    <w:semiHidden/>
    <w:unhideWhenUsed/>
    <w:rsid w:val="00581F3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rpsdetexteCar">
    <w:name w:val="Corps de texte Car"/>
    <w:basedOn w:val="Policepardfaut"/>
    <w:link w:val="Corpsdetexte"/>
    <w:uiPriority w:val="99"/>
    <w:semiHidden/>
    <w:rsid w:val="00581F38"/>
    <w:rPr>
      <w:rFonts w:ascii="Times New Roman" w:eastAsia="Times New Roman" w:hAnsi="Times New Roman" w:cs="Times New Roman"/>
      <w:sz w:val="24"/>
      <w:szCs w:val="24"/>
      <w:lang w:eastAsia="de-CH"/>
    </w:rPr>
  </w:style>
  <w:style w:type="table" w:styleId="Grilledutableau">
    <w:name w:val="Table Grid"/>
    <w:basedOn w:val="TableauNormal"/>
    <w:uiPriority w:val="39"/>
    <w:rsid w:val="001E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304C7"/>
    <w:pPr>
      <w:spacing w:after="0" w:line="240" w:lineRule="auto"/>
    </w:pPr>
  </w:style>
  <w:style w:type="character" w:styleId="Marquedecommentaire">
    <w:name w:val="annotation reference"/>
    <w:basedOn w:val="Policepardfaut"/>
    <w:uiPriority w:val="99"/>
    <w:semiHidden/>
    <w:unhideWhenUsed/>
    <w:rsid w:val="0080368E"/>
    <w:rPr>
      <w:sz w:val="16"/>
      <w:szCs w:val="16"/>
    </w:rPr>
  </w:style>
  <w:style w:type="paragraph" w:styleId="Commentaire">
    <w:name w:val="annotation text"/>
    <w:basedOn w:val="Normal"/>
    <w:link w:val="CommentaireCar"/>
    <w:uiPriority w:val="99"/>
    <w:unhideWhenUsed/>
    <w:rsid w:val="0080368E"/>
    <w:pPr>
      <w:spacing w:line="240" w:lineRule="auto"/>
    </w:pPr>
    <w:rPr>
      <w:sz w:val="20"/>
      <w:szCs w:val="20"/>
    </w:rPr>
  </w:style>
  <w:style w:type="character" w:customStyle="1" w:styleId="CommentaireCar">
    <w:name w:val="Commentaire Car"/>
    <w:basedOn w:val="Policepardfaut"/>
    <w:link w:val="Commentaire"/>
    <w:uiPriority w:val="99"/>
    <w:rsid w:val="0080368E"/>
    <w:rPr>
      <w:sz w:val="20"/>
      <w:szCs w:val="20"/>
    </w:rPr>
  </w:style>
  <w:style w:type="paragraph" w:styleId="Objetducommentaire">
    <w:name w:val="annotation subject"/>
    <w:basedOn w:val="Commentaire"/>
    <w:next w:val="Commentaire"/>
    <w:link w:val="ObjetducommentaireCar"/>
    <w:uiPriority w:val="99"/>
    <w:semiHidden/>
    <w:unhideWhenUsed/>
    <w:rsid w:val="0080368E"/>
    <w:rPr>
      <w:b/>
      <w:bCs/>
    </w:rPr>
  </w:style>
  <w:style w:type="character" w:customStyle="1" w:styleId="ObjetducommentaireCar">
    <w:name w:val="Objet du commentaire Car"/>
    <w:basedOn w:val="CommentaireCar"/>
    <w:link w:val="Objetducommentaire"/>
    <w:uiPriority w:val="99"/>
    <w:semiHidden/>
    <w:rsid w:val="0080368E"/>
    <w:rPr>
      <w:b/>
      <w:bCs/>
      <w:sz w:val="20"/>
      <w:szCs w:val="20"/>
    </w:rPr>
  </w:style>
  <w:style w:type="character" w:styleId="Textedelespacerserv">
    <w:name w:val="Placeholder Text"/>
    <w:basedOn w:val="Policepardfaut"/>
    <w:uiPriority w:val="99"/>
    <w:semiHidden/>
    <w:rsid w:val="00936B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9675">
      <w:bodyDiv w:val="1"/>
      <w:marLeft w:val="0"/>
      <w:marRight w:val="0"/>
      <w:marTop w:val="0"/>
      <w:marBottom w:val="0"/>
      <w:divBdr>
        <w:top w:val="none" w:sz="0" w:space="0" w:color="auto"/>
        <w:left w:val="none" w:sz="0" w:space="0" w:color="auto"/>
        <w:bottom w:val="none" w:sz="0" w:space="0" w:color="auto"/>
        <w:right w:val="none" w:sz="0" w:space="0" w:color="auto"/>
      </w:divBdr>
    </w:div>
    <w:div w:id="10972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zg.admin.ch/dam/bazg/de/dokumente/verfahren-betrieb/grundlagen-und-wirtschaftsmassnahmen/zolltarif/iza_2024/Konkordanzliste_2024-2022.xlsx.download.xlsx"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co.admin.ch/seco/fr/home/Aussenwirtschaftspolitik_Wirtschaftliche_Zusammenarbeit/Wirtschaftsbeziehungen/warenhandel/aufhebung_industriezoelle.html" TargetMode="External"/><Relationship Id="rId10" Type="http://schemas.openxmlformats.org/officeDocument/2006/relationships/hyperlink" Target="https://www.bazg.admin.ch/bazg/de/home/services/services-firmen/services-firmen_einfuhr-ausfuhr-durchfuhr/zolltarif-tares/aufhebung-der-industriezoelle.html" TargetMode="External"/><Relationship Id="rId4" Type="http://schemas.openxmlformats.org/officeDocument/2006/relationships/settings" Target="settings.xml"/><Relationship Id="rId9" Type="http://schemas.openxmlformats.org/officeDocument/2006/relationships/hyperlink" Target="https://www.bazg.admin.ch/bazg/fr/home/services/services-entreprises/services-firmen_einfuhr-ausfuhr-durchfuhr/zolltarif-tares/aufhebung-der-industriezoelle.html"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286E-4E3D-4EC0-BDBF-ECAA1850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1406</Words>
  <Characters>7735</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 Wild</dc:creator>
  <cp:keywords/>
  <dc:description/>
  <cp:lastModifiedBy>Anne Morales</cp:lastModifiedBy>
  <cp:revision>2</cp:revision>
  <cp:lastPrinted>2023-12-11T14:57:00Z</cp:lastPrinted>
  <dcterms:created xsi:type="dcterms:W3CDTF">2023-12-13T15:18:00Z</dcterms:created>
  <dcterms:modified xsi:type="dcterms:W3CDTF">2023-12-13T15:18:00Z</dcterms:modified>
</cp:coreProperties>
</file>